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CC5C6" w14:textId="77777777" w:rsidR="001D180C" w:rsidRDefault="001D180C" w:rsidP="001D180C">
      <w:pPr>
        <w:pStyle w:val="Titolo3"/>
        <w:keepLines w:val="0"/>
        <w:spacing w:before="0" w:line="276" w:lineRule="auto"/>
        <w:jc w:val="center"/>
        <w:rPr>
          <w:rFonts w:ascii="Century Gothic" w:eastAsia="Times New Roman" w:hAnsi="Century Gothic" w:cstheme="majorHAnsi"/>
          <w:b/>
          <w:snapToGrid/>
          <w:color w:val="auto"/>
        </w:rPr>
      </w:pPr>
      <w:r>
        <w:rPr>
          <w:rFonts w:ascii="Century Gothic" w:eastAsia="Times New Roman" w:hAnsi="Century Gothic" w:cstheme="majorHAnsi"/>
          <w:b/>
          <w:color w:val="auto"/>
        </w:rPr>
        <w:t xml:space="preserve">DETERMINAZIONE DEL DIRETTORE GENERALE </w:t>
      </w:r>
    </w:p>
    <w:p w14:paraId="0FDC2B14" w14:textId="0BA81BC1" w:rsidR="001D180C" w:rsidRDefault="001D180C" w:rsidP="004171C3">
      <w:pPr>
        <w:pStyle w:val="Titolo3"/>
        <w:keepLines w:val="0"/>
        <w:spacing w:before="0" w:line="276" w:lineRule="auto"/>
        <w:jc w:val="center"/>
        <w:rPr>
          <w:rFonts w:ascii="Century Gothic" w:eastAsia="Times New Roman" w:hAnsi="Century Gothic" w:cstheme="majorHAnsi"/>
          <w:b/>
          <w:color w:val="auto"/>
        </w:rPr>
      </w:pPr>
      <w:r>
        <w:rPr>
          <w:rFonts w:ascii="Century Gothic" w:eastAsia="Times New Roman" w:hAnsi="Century Gothic" w:cstheme="majorHAnsi"/>
          <w:b/>
          <w:color w:val="auto"/>
        </w:rPr>
        <w:t xml:space="preserve">N. </w:t>
      </w:r>
      <w:r w:rsidR="004171C3">
        <w:rPr>
          <w:rFonts w:ascii="Century Gothic" w:eastAsia="Times New Roman" w:hAnsi="Century Gothic" w:cstheme="majorHAnsi"/>
          <w:b/>
          <w:color w:val="auto"/>
        </w:rPr>
        <w:t>212</w:t>
      </w:r>
      <w:r>
        <w:rPr>
          <w:rFonts w:ascii="Century Gothic" w:eastAsia="Times New Roman" w:hAnsi="Century Gothic" w:cstheme="majorHAnsi"/>
          <w:b/>
          <w:color w:val="auto"/>
        </w:rPr>
        <w:t xml:space="preserve"> DG del </w:t>
      </w:r>
      <w:r w:rsidR="00F37C3B">
        <w:rPr>
          <w:rFonts w:ascii="Century Gothic" w:eastAsia="Times New Roman" w:hAnsi="Century Gothic" w:cstheme="majorHAnsi"/>
          <w:b/>
          <w:color w:val="auto"/>
        </w:rPr>
        <w:t>08</w:t>
      </w:r>
      <w:r>
        <w:rPr>
          <w:rFonts w:ascii="Century Gothic" w:eastAsia="Times New Roman" w:hAnsi="Century Gothic" w:cstheme="majorHAnsi"/>
          <w:b/>
          <w:color w:val="auto"/>
        </w:rPr>
        <w:t>/0</w:t>
      </w:r>
      <w:r w:rsidR="00F37C3B">
        <w:rPr>
          <w:rFonts w:ascii="Century Gothic" w:eastAsia="Times New Roman" w:hAnsi="Century Gothic" w:cstheme="majorHAnsi"/>
          <w:b/>
          <w:color w:val="auto"/>
        </w:rPr>
        <w:t>9</w:t>
      </w:r>
      <w:r>
        <w:rPr>
          <w:rFonts w:ascii="Century Gothic" w:eastAsia="Times New Roman" w:hAnsi="Century Gothic" w:cstheme="majorHAnsi"/>
          <w:b/>
          <w:color w:val="auto"/>
        </w:rPr>
        <w:t>/2025</w:t>
      </w:r>
    </w:p>
    <w:p w14:paraId="0C6D6095" w14:textId="77777777" w:rsidR="001D180C" w:rsidRDefault="001D180C" w:rsidP="001D180C">
      <w:pPr>
        <w:spacing w:line="276" w:lineRule="auto"/>
        <w:rPr>
          <w:rFonts w:ascii="Times New Roman" w:hAnsi="Times New Roman"/>
        </w:rPr>
      </w:pPr>
    </w:p>
    <w:p w14:paraId="5B1EDE16" w14:textId="68836F82" w:rsidR="001D180C" w:rsidRPr="005D343C" w:rsidRDefault="001D180C" w:rsidP="001D180C">
      <w:pPr>
        <w:pBdr>
          <w:top w:val="single" w:sz="4" w:space="1" w:color="auto"/>
          <w:bottom w:val="single" w:sz="4" w:space="1" w:color="auto"/>
        </w:pBdr>
        <w:spacing w:line="276" w:lineRule="auto"/>
        <w:jc w:val="both"/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</w:pPr>
      <w:r w:rsidRPr="001F492F">
        <w:rPr>
          <w:rFonts w:ascii="Century Gothic" w:hAnsi="Century Gothic"/>
          <w:bCs/>
          <w:sz w:val="22"/>
          <w:szCs w:val="22"/>
        </w:rPr>
        <w:t xml:space="preserve">Oggetto: </w:t>
      </w:r>
      <w:r w:rsidR="00D00007" w:rsidRPr="001F492F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>PROCEDURA AI SENSI DELL’ART. 50 COMMA 1 LETT. b) DEL D. LGS 36/2023 –</w:t>
      </w:r>
      <w:r w:rsidR="00B22895" w:rsidRPr="005D343C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 xml:space="preserve"> </w:t>
      </w:r>
      <w:r w:rsidR="00B22895" w:rsidRPr="001F492F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>affidamento D</w:t>
      </w:r>
      <w:r w:rsidR="005D343C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>i</w:t>
      </w:r>
      <w:r w:rsidR="00B22895" w:rsidRPr="001F492F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 xml:space="preserve"> “</w:t>
      </w:r>
      <w:r w:rsidR="005D343C" w:rsidRPr="005D343C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>servizi</w:t>
      </w:r>
      <w:r w:rsidR="00F37C3B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 xml:space="preserve"> DI PROGETTAZIONE DEGLI IMPIANTI ELETTRICI NELL’AMBITO DI LAVORI PUBBLICI</w:t>
      </w:r>
      <w:r w:rsidR="00B22895" w:rsidRPr="001F492F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 xml:space="preserve">” – </w:t>
      </w:r>
      <w:r w:rsidRPr="001F492F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 xml:space="preserve">CIG </w:t>
      </w:r>
      <w:r w:rsidR="00E00E13" w:rsidRPr="005D343C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>B</w:t>
      </w:r>
      <w:r w:rsidR="00F37C3B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>810D318C3</w:t>
      </w:r>
    </w:p>
    <w:p w14:paraId="4A3AE768" w14:textId="77777777" w:rsidR="001D180C" w:rsidRDefault="001D180C" w:rsidP="001D180C">
      <w:pPr>
        <w:spacing w:line="276" w:lineRule="auto"/>
        <w:ind w:left="1985" w:hanging="3119"/>
        <w:contextualSpacing/>
        <w:jc w:val="both"/>
        <w:rPr>
          <w:rFonts w:ascii="Century Gothic" w:hAnsi="Century Gothic" w:cstheme="majorHAnsi"/>
          <w:szCs w:val="24"/>
        </w:rPr>
      </w:pPr>
    </w:p>
    <w:p w14:paraId="50CC4C75" w14:textId="060FF109" w:rsidR="001D180C" w:rsidRDefault="001D180C" w:rsidP="001D180C">
      <w:pPr>
        <w:spacing w:line="276" w:lineRule="auto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Il giorno </w:t>
      </w:r>
      <w:r w:rsidR="00001A0A">
        <w:rPr>
          <w:rFonts w:ascii="Century Gothic" w:hAnsi="Century Gothic" w:cstheme="majorHAnsi"/>
          <w:sz w:val="22"/>
          <w:szCs w:val="22"/>
        </w:rPr>
        <w:t>0</w:t>
      </w:r>
      <w:r w:rsidR="00F37C3B">
        <w:rPr>
          <w:rFonts w:ascii="Century Gothic" w:hAnsi="Century Gothic" w:cstheme="majorHAnsi"/>
          <w:sz w:val="22"/>
          <w:szCs w:val="22"/>
        </w:rPr>
        <w:t>8</w:t>
      </w:r>
      <w:r>
        <w:rPr>
          <w:rFonts w:ascii="Century Gothic" w:hAnsi="Century Gothic" w:cstheme="majorHAnsi"/>
          <w:sz w:val="22"/>
          <w:szCs w:val="22"/>
        </w:rPr>
        <w:t xml:space="preserve"> del mese di </w:t>
      </w:r>
      <w:r w:rsidR="00F37C3B">
        <w:rPr>
          <w:rFonts w:ascii="Century Gothic" w:hAnsi="Century Gothic" w:cstheme="majorHAnsi"/>
          <w:sz w:val="22"/>
          <w:szCs w:val="22"/>
        </w:rPr>
        <w:t>settembre</w:t>
      </w:r>
      <w:r>
        <w:rPr>
          <w:rFonts w:ascii="Century Gothic" w:hAnsi="Century Gothic" w:cstheme="majorHAnsi"/>
          <w:sz w:val="22"/>
          <w:szCs w:val="22"/>
        </w:rPr>
        <w:t xml:space="preserve"> 2025, nella sede degli Uffici della Società </w:t>
      </w:r>
      <w:proofErr w:type="spellStart"/>
      <w:r>
        <w:rPr>
          <w:rFonts w:ascii="Century Gothic" w:hAnsi="Century Gothic" w:cstheme="majorHAnsi"/>
          <w:sz w:val="22"/>
          <w:szCs w:val="22"/>
        </w:rPr>
        <w:t>Se.Va.T</w:t>
      </w:r>
      <w:proofErr w:type="spellEnd"/>
      <w:r>
        <w:rPr>
          <w:rFonts w:ascii="Century Gothic" w:hAnsi="Century Gothic" w:cstheme="majorHAnsi"/>
          <w:sz w:val="22"/>
          <w:szCs w:val="22"/>
        </w:rPr>
        <w:t>. Servizi Valle Trompia S.c.r.l. sita in Gardone Val Trompia (BS), in Via G. Matteotti n. 32</w:t>
      </w:r>
      <w:r w:rsidR="00F37C3B">
        <w:rPr>
          <w:rFonts w:ascii="Century Gothic" w:hAnsi="Century Gothic" w:cstheme="majorHAnsi"/>
          <w:sz w:val="22"/>
          <w:szCs w:val="22"/>
        </w:rPr>
        <w:t>5</w:t>
      </w:r>
      <w:r>
        <w:rPr>
          <w:rFonts w:ascii="Century Gothic" w:hAnsi="Century Gothic" w:cstheme="majorHAnsi"/>
          <w:sz w:val="22"/>
          <w:szCs w:val="22"/>
        </w:rPr>
        <w:t xml:space="preserve">, </w:t>
      </w:r>
    </w:p>
    <w:p w14:paraId="489E0FE0" w14:textId="77777777" w:rsidR="001D180C" w:rsidRDefault="001D180C" w:rsidP="001D180C">
      <w:pPr>
        <w:spacing w:line="276" w:lineRule="auto"/>
        <w:jc w:val="both"/>
        <w:rPr>
          <w:rFonts w:ascii="Century Gothic" w:hAnsi="Century Gothic" w:cstheme="majorHAnsi"/>
          <w:sz w:val="22"/>
          <w:szCs w:val="22"/>
        </w:rPr>
      </w:pPr>
    </w:p>
    <w:p w14:paraId="72D3E960" w14:textId="77777777" w:rsidR="001D180C" w:rsidRDefault="001D180C" w:rsidP="001D180C">
      <w:pPr>
        <w:spacing w:line="360" w:lineRule="auto"/>
        <w:jc w:val="center"/>
        <w:rPr>
          <w:rFonts w:ascii="Century Gothic" w:hAnsi="Century Gothic" w:cstheme="majorHAnsi"/>
          <w:b/>
          <w:i/>
          <w:sz w:val="22"/>
          <w:szCs w:val="22"/>
        </w:rPr>
      </w:pPr>
      <w:r>
        <w:rPr>
          <w:rFonts w:ascii="Century Gothic" w:hAnsi="Century Gothic" w:cstheme="majorHAnsi"/>
          <w:b/>
          <w:i/>
          <w:sz w:val="22"/>
          <w:szCs w:val="22"/>
        </w:rPr>
        <w:t>il Direttore Generale</w:t>
      </w:r>
    </w:p>
    <w:p w14:paraId="46AD0262" w14:textId="77777777" w:rsidR="001D180C" w:rsidRDefault="001D180C" w:rsidP="001D180C">
      <w:pPr>
        <w:tabs>
          <w:tab w:val="left" w:pos="945"/>
        </w:tabs>
        <w:spacing w:line="360" w:lineRule="auto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RICHIAMATA:</w:t>
      </w:r>
    </w:p>
    <w:p w14:paraId="764142D7" w14:textId="7F3AB194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567" w:hanging="567"/>
        <w:contextualSpacing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la deliberazione del </w:t>
      </w:r>
      <w:r w:rsidR="00001A0A">
        <w:rPr>
          <w:rFonts w:ascii="Century Gothic" w:hAnsi="Century Gothic"/>
          <w:sz w:val="22"/>
          <w:szCs w:val="22"/>
        </w:rPr>
        <w:t>Consiglio di amministrazione</w:t>
      </w:r>
      <w:r>
        <w:rPr>
          <w:rFonts w:ascii="Century Gothic" w:hAnsi="Century Gothic"/>
          <w:sz w:val="22"/>
          <w:szCs w:val="22"/>
        </w:rPr>
        <w:t xml:space="preserve"> della Società n. 55 del 09/12/2024 e la deliberazione dell’Assemblea dei Soci n. 1 del 27/02/2025 per l’Approvazione del Budget 2025;</w:t>
      </w:r>
    </w:p>
    <w:p w14:paraId="40AE18C2" w14:textId="77777777" w:rsidR="001D180C" w:rsidRDefault="001D180C" w:rsidP="001D180C">
      <w:pPr>
        <w:autoSpaceDE w:val="0"/>
        <w:autoSpaceDN w:val="0"/>
        <w:spacing w:line="360" w:lineRule="auto"/>
        <w:jc w:val="both"/>
        <w:rPr>
          <w:rFonts w:ascii="Century Gothic" w:hAnsi="Century Gothic" w:cstheme="majorHAnsi"/>
          <w:sz w:val="22"/>
          <w:szCs w:val="22"/>
        </w:rPr>
      </w:pPr>
    </w:p>
    <w:p w14:paraId="71F89E9E" w14:textId="77777777" w:rsidR="001D180C" w:rsidRDefault="001D180C" w:rsidP="001D180C">
      <w:pPr>
        <w:autoSpaceDE w:val="0"/>
        <w:autoSpaceDN w:val="0"/>
        <w:spacing w:line="360" w:lineRule="auto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VISTI: </w:t>
      </w:r>
    </w:p>
    <w:p w14:paraId="69EA12ED" w14:textId="77777777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567" w:hanging="567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i poteri conferiti al Direttore Generale della Società </w:t>
      </w:r>
      <w:proofErr w:type="spellStart"/>
      <w:r>
        <w:rPr>
          <w:rFonts w:ascii="Century Gothic" w:hAnsi="Century Gothic" w:cstheme="majorHAnsi"/>
          <w:sz w:val="22"/>
          <w:szCs w:val="22"/>
        </w:rPr>
        <w:t>Se.Va.T</w:t>
      </w:r>
      <w:proofErr w:type="spellEnd"/>
      <w:r>
        <w:rPr>
          <w:rFonts w:ascii="Century Gothic" w:hAnsi="Century Gothic" w:cstheme="majorHAnsi"/>
          <w:sz w:val="22"/>
          <w:szCs w:val="22"/>
        </w:rPr>
        <w:t xml:space="preserve">. Servizi Valle Trompia S.c.r.l. arch. Fabrizio Veronesi, quale Direttore e Direttore Tecnico ai sensi del D.M. 263/2016, giusta procura notarile del 21.03.2024 – n. 6906 Repertorio e n. 4586 Raccolta a firma del Notaio in Gavardo, dott. Mattia Masperi con cui viene nominato e costituito Procuratore della Società </w:t>
      </w:r>
      <w:proofErr w:type="spellStart"/>
      <w:r>
        <w:rPr>
          <w:rFonts w:ascii="Century Gothic" w:hAnsi="Century Gothic" w:cstheme="majorHAnsi"/>
          <w:sz w:val="22"/>
          <w:szCs w:val="22"/>
        </w:rPr>
        <w:t>Se.Va.T</w:t>
      </w:r>
      <w:proofErr w:type="spellEnd"/>
      <w:r>
        <w:rPr>
          <w:rFonts w:ascii="Century Gothic" w:hAnsi="Century Gothic" w:cstheme="majorHAnsi"/>
          <w:sz w:val="22"/>
          <w:szCs w:val="22"/>
        </w:rPr>
        <w:t>. Servizi Valle Trompia S.c.r.l. per quanto di competenza, in virtù di deliberazione del Coordinamento dei Soci per il Controllo Analogo del 13.03.2024 e del Consiglio di Amministrazione della Società del 14.02.2024;</w:t>
      </w:r>
    </w:p>
    <w:p w14:paraId="53E4EDEE" w14:textId="78804CCE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567" w:hanging="567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la deliberazione del </w:t>
      </w:r>
      <w:r w:rsidR="00001A0A">
        <w:rPr>
          <w:rFonts w:ascii="Century Gothic" w:hAnsi="Century Gothic" w:cstheme="majorHAnsi"/>
          <w:sz w:val="22"/>
          <w:szCs w:val="22"/>
        </w:rPr>
        <w:t>Consiglio di amministrazione</w:t>
      </w:r>
      <w:r>
        <w:rPr>
          <w:rFonts w:ascii="Century Gothic" w:hAnsi="Century Gothic" w:cstheme="majorHAnsi"/>
          <w:sz w:val="22"/>
          <w:szCs w:val="22"/>
        </w:rPr>
        <w:t xml:space="preserve"> n. 08 del 04/11/2022, di assunzione del Direttore Generale e Direttore Tecnico della Società; </w:t>
      </w:r>
    </w:p>
    <w:p w14:paraId="1088A984" w14:textId="77777777" w:rsidR="001D180C" w:rsidRDefault="001D180C" w:rsidP="001D180C">
      <w:pPr>
        <w:spacing w:line="276" w:lineRule="auto"/>
        <w:jc w:val="both"/>
        <w:rPr>
          <w:rFonts w:ascii="Garamond" w:hAnsi="Garamond"/>
          <w:szCs w:val="24"/>
        </w:rPr>
      </w:pPr>
    </w:p>
    <w:p w14:paraId="57622F38" w14:textId="690DC277" w:rsidR="00001A0A" w:rsidRPr="00001A0A" w:rsidRDefault="00001A0A" w:rsidP="00001A0A">
      <w:pPr>
        <w:overflowPunct w:val="0"/>
        <w:autoSpaceDE w:val="0"/>
        <w:autoSpaceDN w:val="0"/>
        <w:adjustRightInd w:val="0"/>
        <w:spacing w:line="276" w:lineRule="auto"/>
        <w:ind w:right="146"/>
        <w:contextualSpacing/>
        <w:jc w:val="both"/>
        <w:textAlignment w:val="baseline"/>
        <w:rPr>
          <w:rFonts w:ascii="Century Gothic" w:hAnsi="Century Gothic" w:cstheme="majorHAnsi"/>
          <w:sz w:val="22"/>
          <w:szCs w:val="22"/>
        </w:rPr>
      </w:pPr>
      <w:r w:rsidRPr="00001A0A">
        <w:rPr>
          <w:rFonts w:ascii="Century Gothic" w:hAnsi="Century Gothic" w:cstheme="majorHAnsi"/>
          <w:sz w:val="22"/>
          <w:szCs w:val="22"/>
        </w:rPr>
        <w:t xml:space="preserve">VISTO l’articolo 41 del </w:t>
      </w:r>
      <w:proofErr w:type="spellStart"/>
      <w:r w:rsidRPr="00001A0A">
        <w:rPr>
          <w:rFonts w:ascii="Century Gothic" w:hAnsi="Century Gothic" w:cstheme="majorHAnsi"/>
          <w:sz w:val="22"/>
          <w:szCs w:val="22"/>
        </w:rPr>
        <w:t>D.Lgs</w:t>
      </w:r>
      <w:proofErr w:type="spellEnd"/>
      <w:r w:rsidR="00EF4154">
        <w:rPr>
          <w:rFonts w:ascii="Century Gothic" w:hAnsi="Century Gothic" w:cstheme="majorHAnsi"/>
          <w:sz w:val="22"/>
          <w:szCs w:val="22"/>
        </w:rPr>
        <w:t xml:space="preserve"> </w:t>
      </w:r>
      <w:r w:rsidRPr="00001A0A">
        <w:rPr>
          <w:rFonts w:ascii="Century Gothic" w:hAnsi="Century Gothic" w:cstheme="majorHAnsi"/>
          <w:sz w:val="22"/>
          <w:szCs w:val="22"/>
        </w:rPr>
        <w:t xml:space="preserve">n. 36/2023, che disciplina i servizi di ingegneria e architettura, tra cui rientrano le prestazioni professionali di progettazione </w:t>
      </w:r>
      <w:r w:rsidR="005E2BB8">
        <w:rPr>
          <w:rFonts w:ascii="Century Gothic" w:hAnsi="Century Gothic" w:cstheme="majorHAnsi"/>
          <w:sz w:val="22"/>
          <w:szCs w:val="22"/>
        </w:rPr>
        <w:t>degli impianti elettrici</w:t>
      </w:r>
      <w:r w:rsidRPr="00001A0A">
        <w:rPr>
          <w:rFonts w:ascii="Century Gothic" w:hAnsi="Century Gothic" w:cstheme="majorHAnsi"/>
          <w:sz w:val="22"/>
          <w:szCs w:val="22"/>
        </w:rPr>
        <w:t>;</w:t>
      </w:r>
    </w:p>
    <w:p w14:paraId="6CBA608A" w14:textId="77777777" w:rsidR="00001A0A" w:rsidRPr="00001A0A" w:rsidRDefault="00001A0A" w:rsidP="00001A0A">
      <w:pPr>
        <w:overflowPunct w:val="0"/>
        <w:autoSpaceDE w:val="0"/>
        <w:autoSpaceDN w:val="0"/>
        <w:adjustRightInd w:val="0"/>
        <w:spacing w:line="276" w:lineRule="auto"/>
        <w:ind w:left="567" w:right="146"/>
        <w:contextualSpacing/>
        <w:jc w:val="both"/>
        <w:textAlignment w:val="baseline"/>
        <w:rPr>
          <w:rFonts w:ascii="Century Gothic" w:hAnsi="Century Gothic" w:cstheme="majorHAnsi"/>
          <w:sz w:val="22"/>
          <w:szCs w:val="22"/>
        </w:rPr>
      </w:pPr>
    </w:p>
    <w:p w14:paraId="45168F3C" w14:textId="52D12385" w:rsidR="00001A0A" w:rsidRPr="00001A0A" w:rsidRDefault="00001A0A" w:rsidP="00001A0A">
      <w:pPr>
        <w:overflowPunct w:val="0"/>
        <w:autoSpaceDE w:val="0"/>
        <w:autoSpaceDN w:val="0"/>
        <w:adjustRightInd w:val="0"/>
        <w:spacing w:line="276" w:lineRule="auto"/>
        <w:ind w:right="146"/>
        <w:contextualSpacing/>
        <w:jc w:val="both"/>
        <w:textAlignment w:val="baseline"/>
        <w:rPr>
          <w:rFonts w:ascii="Century Gothic" w:hAnsi="Century Gothic" w:cstheme="majorHAnsi"/>
          <w:sz w:val="22"/>
          <w:szCs w:val="22"/>
        </w:rPr>
      </w:pPr>
      <w:r w:rsidRPr="00001A0A">
        <w:rPr>
          <w:rFonts w:ascii="Century Gothic" w:hAnsi="Century Gothic" w:cstheme="majorHAnsi"/>
          <w:sz w:val="22"/>
          <w:szCs w:val="22"/>
        </w:rPr>
        <w:t>CONSIDERATO che la Società svolge, per conto dei Comuni soci, attività finalizzate alla realizzazione di interventi pubblici "chiavi in mano", assumendo in proprio, ove possibile, le competenze tecniche e professionali necessarie;</w:t>
      </w:r>
    </w:p>
    <w:p w14:paraId="0D81C971" w14:textId="77777777" w:rsidR="00001A0A" w:rsidRPr="00001A0A" w:rsidRDefault="00001A0A" w:rsidP="00001A0A">
      <w:pPr>
        <w:overflowPunct w:val="0"/>
        <w:autoSpaceDE w:val="0"/>
        <w:autoSpaceDN w:val="0"/>
        <w:adjustRightInd w:val="0"/>
        <w:spacing w:line="276" w:lineRule="auto"/>
        <w:ind w:left="567" w:right="146"/>
        <w:contextualSpacing/>
        <w:jc w:val="both"/>
        <w:textAlignment w:val="baseline"/>
        <w:rPr>
          <w:rFonts w:ascii="Century Gothic" w:hAnsi="Century Gothic" w:cstheme="majorHAnsi"/>
          <w:sz w:val="22"/>
          <w:szCs w:val="22"/>
        </w:rPr>
      </w:pPr>
    </w:p>
    <w:p w14:paraId="4719A2F5" w14:textId="44CDA242" w:rsidR="00001A0A" w:rsidRPr="00001A0A" w:rsidRDefault="00001A0A" w:rsidP="00001A0A">
      <w:pPr>
        <w:overflowPunct w:val="0"/>
        <w:autoSpaceDE w:val="0"/>
        <w:autoSpaceDN w:val="0"/>
        <w:adjustRightInd w:val="0"/>
        <w:spacing w:line="276" w:lineRule="auto"/>
        <w:ind w:right="146"/>
        <w:contextualSpacing/>
        <w:jc w:val="both"/>
        <w:textAlignment w:val="baseline"/>
        <w:rPr>
          <w:rFonts w:ascii="Century Gothic" w:hAnsi="Century Gothic" w:cstheme="majorHAnsi"/>
          <w:sz w:val="22"/>
          <w:szCs w:val="22"/>
        </w:rPr>
      </w:pPr>
      <w:r w:rsidRPr="00001A0A">
        <w:rPr>
          <w:rFonts w:ascii="Century Gothic" w:hAnsi="Century Gothic" w:cstheme="majorHAnsi"/>
          <w:sz w:val="22"/>
          <w:szCs w:val="22"/>
        </w:rPr>
        <w:t>RILEVATO tuttavia che, per la corretta e completa esecuzione di alcune attività, risultano necessarie specifiche competenze tecniche specialistiche, quali quelle afferenti a</w:t>
      </w:r>
      <w:r w:rsidR="00EF4154">
        <w:rPr>
          <w:rFonts w:ascii="Century Gothic" w:hAnsi="Century Gothic" w:cstheme="majorHAnsi"/>
          <w:sz w:val="22"/>
          <w:szCs w:val="22"/>
        </w:rPr>
        <w:t>lla progettazione degli impianti elettrici</w:t>
      </w:r>
      <w:r w:rsidRPr="00001A0A">
        <w:rPr>
          <w:rFonts w:ascii="Century Gothic" w:hAnsi="Century Gothic" w:cstheme="majorHAnsi"/>
          <w:sz w:val="22"/>
          <w:szCs w:val="22"/>
        </w:rPr>
        <w:t>;</w:t>
      </w:r>
    </w:p>
    <w:p w14:paraId="3D8D5F9B" w14:textId="77777777" w:rsidR="00001A0A" w:rsidRPr="00001A0A" w:rsidRDefault="00001A0A" w:rsidP="00001A0A">
      <w:pPr>
        <w:overflowPunct w:val="0"/>
        <w:autoSpaceDE w:val="0"/>
        <w:autoSpaceDN w:val="0"/>
        <w:adjustRightInd w:val="0"/>
        <w:spacing w:line="276" w:lineRule="auto"/>
        <w:ind w:left="567" w:right="146"/>
        <w:contextualSpacing/>
        <w:jc w:val="both"/>
        <w:textAlignment w:val="baseline"/>
        <w:rPr>
          <w:rFonts w:ascii="Century Gothic" w:hAnsi="Century Gothic" w:cstheme="majorHAnsi"/>
          <w:sz w:val="22"/>
          <w:szCs w:val="22"/>
        </w:rPr>
      </w:pPr>
    </w:p>
    <w:p w14:paraId="41825382" w14:textId="2E47A5FA" w:rsidR="001D180C" w:rsidRDefault="00001A0A" w:rsidP="00001A0A">
      <w:pPr>
        <w:overflowPunct w:val="0"/>
        <w:autoSpaceDE w:val="0"/>
        <w:autoSpaceDN w:val="0"/>
        <w:adjustRightInd w:val="0"/>
        <w:spacing w:line="276" w:lineRule="auto"/>
        <w:ind w:right="146"/>
        <w:contextualSpacing/>
        <w:jc w:val="both"/>
        <w:textAlignment w:val="baseline"/>
        <w:rPr>
          <w:rFonts w:ascii="Century Gothic" w:hAnsi="Century Gothic" w:cstheme="majorHAnsi"/>
          <w:sz w:val="22"/>
          <w:szCs w:val="22"/>
        </w:rPr>
      </w:pPr>
      <w:r w:rsidRPr="00001A0A">
        <w:rPr>
          <w:rFonts w:ascii="Century Gothic" w:hAnsi="Century Gothic" w:cstheme="majorHAnsi"/>
          <w:sz w:val="22"/>
          <w:szCs w:val="22"/>
        </w:rPr>
        <w:t xml:space="preserve">RITENUTO pertanto opportuno procedere, per il caso in oggetto, all’affidamento esterno del servizio tecnico di progettazione </w:t>
      </w:r>
      <w:r w:rsidR="00EF4154">
        <w:rPr>
          <w:rFonts w:ascii="Century Gothic" w:hAnsi="Century Gothic" w:cstheme="majorHAnsi"/>
          <w:sz w:val="22"/>
          <w:szCs w:val="22"/>
        </w:rPr>
        <w:t>di impianti elettrici</w:t>
      </w:r>
      <w:r w:rsidRPr="00001A0A">
        <w:rPr>
          <w:rFonts w:ascii="Century Gothic" w:hAnsi="Century Gothic" w:cstheme="majorHAnsi"/>
          <w:sz w:val="22"/>
          <w:szCs w:val="22"/>
        </w:rPr>
        <w:t xml:space="preserve">, mediante affidamento diretto ai sensi dell’art. 50, comma 1, lett. b), del </w:t>
      </w:r>
      <w:proofErr w:type="spellStart"/>
      <w:r w:rsidRPr="00001A0A">
        <w:rPr>
          <w:rFonts w:ascii="Century Gothic" w:hAnsi="Century Gothic" w:cstheme="majorHAnsi"/>
          <w:sz w:val="22"/>
          <w:szCs w:val="22"/>
        </w:rPr>
        <w:t>D.Lgs.</w:t>
      </w:r>
      <w:proofErr w:type="spellEnd"/>
      <w:r w:rsidRPr="00001A0A">
        <w:rPr>
          <w:rFonts w:ascii="Century Gothic" w:hAnsi="Century Gothic" w:cstheme="majorHAnsi"/>
          <w:sz w:val="22"/>
          <w:szCs w:val="22"/>
        </w:rPr>
        <w:t xml:space="preserve"> 36/2023, nel rispetto dei principi di economicità, efficacia e tempestività dell’azione amministrativa;</w:t>
      </w:r>
    </w:p>
    <w:p w14:paraId="3FCA8728" w14:textId="77777777" w:rsidR="001D180C" w:rsidRDefault="001D180C" w:rsidP="001D180C">
      <w:pPr>
        <w:autoSpaceDE w:val="0"/>
        <w:autoSpaceDN w:val="0"/>
        <w:spacing w:line="276" w:lineRule="auto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lastRenderedPageBreak/>
        <w:t>VALUTATO che:</w:t>
      </w:r>
    </w:p>
    <w:p w14:paraId="57AFD6B5" w14:textId="77777777" w:rsidR="001D180C" w:rsidRDefault="001D180C" w:rsidP="001D180C">
      <w:pPr>
        <w:pStyle w:val="Paragrafoelenco"/>
        <w:numPr>
          <w:ilvl w:val="0"/>
          <w:numId w:val="12"/>
        </w:numPr>
        <w:autoSpaceDE w:val="0"/>
        <w:autoSpaceDN w:val="0"/>
        <w:spacing w:line="276" w:lineRule="auto"/>
        <w:ind w:hanging="720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l’art. 50 del </w:t>
      </w:r>
      <w:proofErr w:type="spellStart"/>
      <w:r>
        <w:rPr>
          <w:rFonts w:ascii="Century Gothic" w:hAnsi="Century Gothic" w:cstheme="majorHAnsi"/>
          <w:sz w:val="22"/>
          <w:szCs w:val="22"/>
        </w:rPr>
        <w:t>D.Lgs.</w:t>
      </w:r>
      <w:proofErr w:type="spellEnd"/>
      <w:r>
        <w:rPr>
          <w:rFonts w:ascii="Century Gothic" w:hAnsi="Century Gothic" w:cstheme="majorHAnsi"/>
          <w:sz w:val="22"/>
          <w:szCs w:val="22"/>
        </w:rPr>
        <w:t xml:space="preserve"> 36/2023, detta le procedure di affidamento dei contratti di lavori, servizi e forniture di importo inferiore alle soglie di cui all’articolo 14;</w:t>
      </w:r>
    </w:p>
    <w:p w14:paraId="0FCCBB0B" w14:textId="77777777" w:rsidR="001D180C" w:rsidRDefault="001D180C" w:rsidP="001D180C">
      <w:pPr>
        <w:pStyle w:val="Paragrafoelenco"/>
        <w:numPr>
          <w:ilvl w:val="0"/>
          <w:numId w:val="12"/>
        </w:numPr>
        <w:autoSpaceDE w:val="0"/>
        <w:autoSpaceDN w:val="0"/>
        <w:spacing w:line="276" w:lineRule="auto"/>
        <w:ind w:hanging="720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l’articolo 49 del </w:t>
      </w:r>
      <w:proofErr w:type="spellStart"/>
      <w:r>
        <w:rPr>
          <w:rFonts w:ascii="Century Gothic" w:hAnsi="Century Gothic" w:cstheme="majorHAnsi"/>
          <w:sz w:val="22"/>
          <w:szCs w:val="22"/>
        </w:rPr>
        <w:t>D.Lgs.</w:t>
      </w:r>
      <w:proofErr w:type="spellEnd"/>
      <w:r>
        <w:rPr>
          <w:rFonts w:ascii="Century Gothic" w:hAnsi="Century Gothic" w:cstheme="majorHAnsi"/>
          <w:sz w:val="22"/>
          <w:szCs w:val="22"/>
        </w:rPr>
        <w:t xml:space="preserve"> 36/2023 definisce il principio di rotazione per l’affidamento dei contratti;</w:t>
      </w:r>
    </w:p>
    <w:p w14:paraId="3C304DF1" w14:textId="77777777" w:rsidR="001D180C" w:rsidRDefault="001D180C" w:rsidP="001D180C">
      <w:pPr>
        <w:pStyle w:val="Paragrafoelenco"/>
        <w:numPr>
          <w:ilvl w:val="0"/>
          <w:numId w:val="12"/>
        </w:numPr>
        <w:autoSpaceDE w:val="0"/>
        <w:autoSpaceDN w:val="0"/>
        <w:spacing w:line="276" w:lineRule="auto"/>
        <w:ind w:hanging="720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la società è dotata di Regolamento per gli affidamenti di contratti pubblici sottosoglia, contenente norme per l’applicazione del principio di rotazione;</w:t>
      </w:r>
    </w:p>
    <w:p w14:paraId="242AF231" w14:textId="77777777" w:rsidR="001D180C" w:rsidRDefault="001D180C" w:rsidP="001D180C">
      <w:pPr>
        <w:pStyle w:val="Paragrafoelenco"/>
        <w:numPr>
          <w:ilvl w:val="0"/>
          <w:numId w:val="12"/>
        </w:numPr>
        <w:autoSpaceDE w:val="0"/>
        <w:autoSpaceDN w:val="0"/>
        <w:spacing w:line="276" w:lineRule="auto"/>
        <w:ind w:hanging="720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l’articolo 23 del D.lgs. 36/2023 obbliga le Stazioni Appaltanti all’utilizzo di Piattaforma di Approvvigionamento Digitale (PAD) certificata, e che la società si avvale di TRASPARE, Piattaforma di Approvvigionamento Digitale certificata da AGID e ANAC;</w:t>
      </w:r>
    </w:p>
    <w:p w14:paraId="1E99FAE6" w14:textId="6BFCEE14" w:rsidR="001D180C" w:rsidRDefault="001D180C" w:rsidP="001D180C">
      <w:pPr>
        <w:pStyle w:val="Paragrafoelenco"/>
        <w:numPr>
          <w:ilvl w:val="0"/>
          <w:numId w:val="12"/>
        </w:numPr>
        <w:autoSpaceDE w:val="0"/>
        <w:autoSpaceDN w:val="0"/>
        <w:spacing w:line="276" w:lineRule="auto"/>
        <w:ind w:hanging="720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l’importo stimato della prestazione risulta essere pari a complessivi € </w:t>
      </w:r>
      <w:r w:rsidR="005D343C">
        <w:rPr>
          <w:rFonts w:ascii="Century Gothic" w:hAnsi="Century Gothic" w:cstheme="majorHAnsi"/>
          <w:sz w:val="22"/>
          <w:szCs w:val="22"/>
        </w:rPr>
        <w:t>139</w:t>
      </w:r>
      <w:r w:rsidR="00800E13">
        <w:rPr>
          <w:rFonts w:ascii="Century Gothic" w:hAnsi="Century Gothic" w:cstheme="majorHAnsi"/>
          <w:sz w:val="22"/>
          <w:szCs w:val="22"/>
        </w:rPr>
        <w:t>.000</w:t>
      </w:r>
      <w:r w:rsidR="00DB194E">
        <w:rPr>
          <w:rFonts w:ascii="Century Gothic" w:hAnsi="Century Gothic" w:cstheme="majorHAnsi"/>
          <w:sz w:val="22"/>
          <w:szCs w:val="22"/>
        </w:rPr>
        <w:t>,00</w:t>
      </w:r>
      <w:r>
        <w:rPr>
          <w:rFonts w:ascii="Century Gothic" w:hAnsi="Century Gothic" w:cstheme="majorHAnsi"/>
          <w:sz w:val="22"/>
          <w:szCs w:val="22"/>
        </w:rPr>
        <w:t xml:space="preserve">, e pertanto si deve procedere mediante “affidamento diretto” in quanto inferiore al limite fissato all’articolo 50 comma 1 lettera b) del </w:t>
      </w:r>
      <w:proofErr w:type="spellStart"/>
      <w:r>
        <w:rPr>
          <w:rFonts w:ascii="Century Gothic" w:hAnsi="Century Gothic" w:cstheme="majorHAnsi"/>
          <w:sz w:val="22"/>
          <w:szCs w:val="22"/>
        </w:rPr>
        <w:t>D.Lgs</w:t>
      </w:r>
      <w:proofErr w:type="spellEnd"/>
      <w:r>
        <w:rPr>
          <w:rFonts w:ascii="Century Gothic" w:hAnsi="Century Gothic" w:cstheme="majorHAnsi"/>
          <w:sz w:val="22"/>
          <w:szCs w:val="22"/>
        </w:rPr>
        <w:t xml:space="preserve"> n. 36/</w:t>
      </w:r>
      <w:r w:rsidR="00001A0A">
        <w:rPr>
          <w:rFonts w:ascii="Century Gothic" w:hAnsi="Century Gothic" w:cstheme="majorHAnsi"/>
          <w:sz w:val="22"/>
          <w:szCs w:val="22"/>
        </w:rPr>
        <w:t>2023;</w:t>
      </w:r>
    </w:p>
    <w:p w14:paraId="143B0CC5" w14:textId="77777777" w:rsidR="001D180C" w:rsidRDefault="001D180C" w:rsidP="001D180C">
      <w:pPr>
        <w:pStyle w:val="Paragrafoelenco"/>
        <w:numPr>
          <w:ilvl w:val="0"/>
          <w:numId w:val="12"/>
        </w:numPr>
        <w:autoSpaceDE w:val="0"/>
        <w:autoSpaceDN w:val="0"/>
        <w:spacing w:line="276" w:lineRule="auto"/>
        <w:ind w:hanging="720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l’articolo 17, comma 2, del </w:t>
      </w:r>
      <w:proofErr w:type="spellStart"/>
      <w:r>
        <w:rPr>
          <w:rFonts w:ascii="Century Gothic" w:hAnsi="Century Gothic" w:cstheme="majorHAnsi"/>
          <w:sz w:val="22"/>
          <w:szCs w:val="22"/>
        </w:rPr>
        <w:t>D.Lgs</w:t>
      </w:r>
      <w:proofErr w:type="spellEnd"/>
      <w:r>
        <w:rPr>
          <w:rFonts w:ascii="Century Gothic" w:hAnsi="Century Gothic" w:cstheme="majorHAnsi"/>
          <w:sz w:val="22"/>
          <w:szCs w:val="22"/>
        </w:rPr>
        <w:t xml:space="preserve"> 36/2023, detta i contenuti minimi dell’atto di affidamento, senza ricorre a preventiva decisione a contrarre;</w:t>
      </w:r>
    </w:p>
    <w:p w14:paraId="3865926C" w14:textId="77777777" w:rsidR="001D180C" w:rsidRDefault="001D180C" w:rsidP="001D180C">
      <w:pPr>
        <w:autoSpaceDE w:val="0"/>
        <w:autoSpaceDN w:val="0"/>
        <w:spacing w:line="276" w:lineRule="auto"/>
        <w:jc w:val="both"/>
        <w:rPr>
          <w:rFonts w:ascii="Century Gothic" w:hAnsi="Century Gothic" w:cstheme="majorHAnsi"/>
          <w:sz w:val="22"/>
          <w:szCs w:val="22"/>
        </w:rPr>
      </w:pPr>
    </w:p>
    <w:p w14:paraId="2BAEFD32" w14:textId="77777777" w:rsidR="001D180C" w:rsidRDefault="001D180C" w:rsidP="001D180C">
      <w:pPr>
        <w:overflowPunct w:val="0"/>
        <w:autoSpaceDE w:val="0"/>
        <w:autoSpaceDN w:val="0"/>
        <w:adjustRightInd w:val="0"/>
        <w:spacing w:line="276" w:lineRule="auto"/>
        <w:ind w:right="146"/>
        <w:contextualSpacing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 xml:space="preserve">RITENUTO CHE le prestazioni argomento del presente atto non possano rivestire un interesse transfrontaliero certo, secondo quanto previsto dall’articolo 48, comma 2, del Decreto Legislativo 36/2023, per le seguenti considerazioni; </w:t>
      </w:r>
    </w:p>
    <w:p w14:paraId="73343756" w14:textId="653D51E5" w:rsidR="001D180C" w:rsidRPr="00DB194E" w:rsidRDefault="001D180C" w:rsidP="001D180C">
      <w:pPr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567" w:right="146" w:hanging="567"/>
        <w:contextualSpacing/>
        <w:jc w:val="both"/>
        <w:textAlignment w:val="baseline"/>
        <w:rPr>
          <w:rFonts w:ascii="Century Gothic" w:hAnsi="Century Gothic" w:cstheme="majorHAnsi"/>
          <w:sz w:val="22"/>
        </w:rPr>
      </w:pPr>
      <w:r w:rsidRPr="00DB194E">
        <w:rPr>
          <w:rFonts w:ascii="Century Gothic" w:hAnsi="Century Gothic" w:cstheme="majorHAnsi"/>
          <w:sz w:val="22"/>
        </w:rPr>
        <w:t xml:space="preserve">il valore stimato delle prestazioni a base di gara risulta </w:t>
      </w:r>
      <w:r w:rsidR="00DB194E" w:rsidRPr="00DB194E">
        <w:rPr>
          <w:rFonts w:ascii="Century Gothic" w:hAnsi="Century Gothic" w:cstheme="majorHAnsi"/>
          <w:sz w:val="22"/>
        </w:rPr>
        <w:t>ampiamente inferiore</w:t>
      </w:r>
      <w:r w:rsidRPr="00DB194E">
        <w:rPr>
          <w:rFonts w:ascii="Century Gothic" w:hAnsi="Century Gothic" w:cstheme="majorHAnsi"/>
          <w:sz w:val="22"/>
        </w:rPr>
        <w:t xml:space="preserve"> alla soglia di rilevanza europea di cui all’art. 14, comma 1, lett. </w:t>
      </w:r>
      <w:r w:rsidR="00DB194E" w:rsidRPr="00DB194E">
        <w:rPr>
          <w:rFonts w:ascii="Century Gothic" w:hAnsi="Century Gothic" w:cstheme="majorHAnsi"/>
          <w:sz w:val="22"/>
        </w:rPr>
        <w:t>b</w:t>
      </w:r>
      <w:r w:rsidRPr="00DB194E">
        <w:rPr>
          <w:rFonts w:ascii="Century Gothic" w:hAnsi="Century Gothic" w:cstheme="majorHAnsi"/>
          <w:sz w:val="22"/>
        </w:rPr>
        <w:t xml:space="preserve">) del Dlgs. 36/2023; </w:t>
      </w:r>
    </w:p>
    <w:p w14:paraId="66F7DE4E" w14:textId="49B2F6BD" w:rsidR="00DB194E" w:rsidRPr="00DB194E" w:rsidRDefault="001D180C" w:rsidP="001D180C">
      <w:pPr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567" w:right="146" w:hanging="567"/>
        <w:contextualSpacing/>
        <w:jc w:val="both"/>
        <w:textAlignment w:val="baseline"/>
        <w:rPr>
          <w:rFonts w:ascii="Century Gothic" w:hAnsi="Century Gothic" w:cstheme="majorHAnsi"/>
          <w:sz w:val="22"/>
        </w:rPr>
      </w:pPr>
      <w:r w:rsidRPr="00DB194E">
        <w:rPr>
          <w:rFonts w:ascii="Century Gothic" w:hAnsi="Century Gothic" w:cstheme="majorHAnsi"/>
          <w:sz w:val="22"/>
        </w:rPr>
        <w:t xml:space="preserve">l’esecuzione del presente appalto non prevede prestazioni tecnicamente rilevanti ai fini transfrontalieri trattandosi di </w:t>
      </w:r>
      <w:r w:rsidR="006079F5" w:rsidRPr="00DB194E">
        <w:rPr>
          <w:rFonts w:ascii="Century Gothic" w:hAnsi="Century Gothic" w:cstheme="majorHAnsi"/>
          <w:sz w:val="22"/>
        </w:rPr>
        <w:t xml:space="preserve">servizi </w:t>
      </w:r>
      <w:r w:rsidR="00DB194E" w:rsidRPr="00DB194E">
        <w:rPr>
          <w:rFonts w:ascii="Century Gothic" w:hAnsi="Century Gothic" w:cstheme="majorHAnsi"/>
          <w:sz w:val="22"/>
        </w:rPr>
        <w:t xml:space="preserve">tecnici che richiedono specifiche conoscenze tecniche e della normativa italiana in tema di </w:t>
      </w:r>
      <w:r w:rsidR="009A3A52">
        <w:rPr>
          <w:rFonts w:ascii="Century Gothic" w:hAnsi="Century Gothic" w:cstheme="majorHAnsi"/>
          <w:sz w:val="22"/>
        </w:rPr>
        <w:t>progettazione impiantistica</w:t>
      </w:r>
      <w:r w:rsidR="00DB194E" w:rsidRPr="00DB194E">
        <w:rPr>
          <w:rFonts w:ascii="Century Gothic" w:hAnsi="Century Gothic" w:cstheme="majorHAnsi"/>
          <w:sz w:val="22"/>
        </w:rPr>
        <w:t>;</w:t>
      </w:r>
    </w:p>
    <w:p w14:paraId="079CE63B" w14:textId="1E75F9DA" w:rsidR="006079F5" w:rsidRPr="00DB194E" w:rsidRDefault="001D180C" w:rsidP="001D180C">
      <w:pPr>
        <w:widowControl/>
        <w:numPr>
          <w:ilvl w:val="0"/>
          <w:numId w:val="13"/>
        </w:numPr>
        <w:overflowPunct w:val="0"/>
        <w:autoSpaceDE w:val="0"/>
        <w:autoSpaceDN w:val="0"/>
        <w:adjustRightInd w:val="0"/>
        <w:spacing w:line="276" w:lineRule="auto"/>
        <w:ind w:left="567" w:right="146" w:hanging="567"/>
        <w:contextualSpacing/>
        <w:jc w:val="both"/>
        <w:textAlignment w:val="baseline"/>
        <w:rPr>
          <w:rFonts w:ascii="Century Gothic" w:hAnsi="Century Gothic" w:cstheme="majorHAnsi"/>
          <w:sz w:val="22"/>
          <w:szCs w:val="22"/>
        </w:rPr>
      </w:pPr>
      <w:r w:rsidRPr="00DB194E">
        <w:rPr>
          <w:rFonts w:ascii="Century Gothic" w:hAnsi="Century Gothic" w:cstheme="majorHAnsi"/>
          <w:sz w:val="22"/>
        </w:rPr>
        <w:t>l’ubicazione dell’esecuzione delle prestazioni dei servizi non risulta ambito idoneo ad attrarre l’interesse di operatori esteri</w:t>
      </w:r>
      <w:r w:rsidR="009A3A52">
        <w:rPr>
          <w:rFonts w:ascii="Century Gothic" w:hAnsi="Century Gothic" w:cstheme="majorHAnsi"/>
          <w:sz w:val="22"/>
        </w:rPr>
        <w:t>;</w:t>
      </w:r>
    </w:p>
    <w:p w14:paraId="5F5CBE55" w14:textId="29391444" w:rsidR="001D180C" w:rsidRDefault="001D180C" w:rsidP="001D180C">
      <w:pPr>
        <w:overflowPunct w:val="0"/>
        <w:autoSpaceDE w:val="0"/>
        <w:autoSpaceDN w:val="0"/>
        <w:adjustRightInd w:val="0"/>
        <w:spacing w:line="276" w:lineRule="auto"/>
        <w:ind w:left="567" w:right="146"/>
        <w:contextualSpacing/>
        <w:jc w:val="both"/>
        <w:textAlignment w:val="baseline"/>
        <w:rPr>
          <w:rFonts w:ascii="Century Gothic" w:hAnsi="Century Gothic" w:cstheme="majorHAnsi"/>
          <w:sz w:val="22"/>
          <w:szCs w:val="22"/>
        </w:rPr>
      </w:pPr>
    </w:p>
    <w:p w14:paraId="03FEAACF" w14:textId="77777777" w:rsidR="001D180C" w:rsidRDefault="001D180C" w:rsidP="001D180C">
      <w:pPr>
        <w:overflowPunct w:val="0"/>
        <w:autoSpaceDE w:val="0"/>
        <w:autoSpaceDN w:val="0"/>
        <w:adjustRightInd w:val="0"/>
        <w:spacing w:line="276" w:lineRule="auto"/>
        <w:ind w:right="146"/>
        <w:contextualSpacing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 xml:space="preserve">RITENUTO pertanto di avviare il procedimento finalizzato alla stipulazione del contratto per l’esecuzione del servizio in esame, che consideri i seguenti dati minimi: </w:t>
      </w:r>
    </w:p>
    <w:p w14:paraId="5A57451E" w14:textId="698AB454" w:rsidR="009B0EE8" w:rsidRPr="00DB194E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 xml:space="preserve">Oggetto dell’affidamento: </w:t>
      </w:r>
      <w:r w:rsidR="00800E13" w:rsidRPr="00800E13">
        <w:rPr>
          <w:rFonts w:ascii="Century Gothic" w:eastAsia="MS Mincho" w:hAnsi="Century Gothic"/>
          <w:bCs/>
          <w:kern w:val="3"/>
          <w:sz w:val="22"/>
          <w:szCs w:val="22"/>
          <w:lang w:eastAsia="zh-CN"/>
        </w:rPr>
        <w:t xml:space="preserve">affidamento </w:t>
      </w:r>
      <w:r w:rsidR="00800E13">
        <w:rPr>
          <w:rFonts w:ascii="Century Gothic" w:eastAsia="MS Mincho" w:hAnsi="Century Gothic"/>
          <w:bCs/>
          <w:kern w:val="3"/>
          <w:sz w:val="22"/>
          <w:szCs w:val="22"/>
          <w:lang w:eastAsia="zh-CN"/>
        </w:rPr>
        <w:t>d</w:t>
      </w:r>
      <w:r w:rsidR="00800E13" w:rsidRPr="00800E13">
        <w:rPr>
          <w:rFonts w:ascii="Century Gothic" w:eastAsia="MS Mincho" w:hAnsi="Century Gothic"/>
          <w:bCs/>
          <w:kern w:val="3"/>
          <w:sz w:val="22"/>
          <w:szCs w:val="22"/>
          <w:lang w:eastAsia="zh-CN"/>
        </w:rPr>
        <w:t xml:space="preserve">i “servizi tecnici </w:t>
      </w:r>
      <w:r w:rsidR="009A3A52">
        <w:rPr>
          <w:rFonts w:ascii="Century Gothic" w:eastAsia="MS Mincho" w:hAnsi="Century Gothic"/>
          <w:bCs/>
          <w:kern w:val="3"/>
          <w:sz w:val="22"/>
          <w:szCs w:val="22"/>
          <w:lang w:eastAsia="zh-CN"/>
        </w:rPr>
        <w:t>di progettazione degli impianti elettrici nell’ambito di lavori pubblici “;</w:t>
      </w:r>
    </w:p>
    <w:p w14:paraId="0C48F151" w14:textId="7C01DE89" w:rsidR="001D180C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 xml:space="preserve">Importo delle prestazioni: € </w:t>
      </w:r>
      <w:r w:rsidR="00001A0A">
        <w:rPr>
          <w:rFonts w:ascii="Century Gothic" w:hAnsi="Century Gothic" w:cstheme="majorHAnsi"/>
          <w:sz w:val="22"/>
        </w:rPr>
        <w:t>139.000</w:t>
      </w:r>
      <w:r w:rsidR="00DB194E">
        <w:rPr>
          <w:rFonts w:ascii="Century Gothic" w:hAnsi="Century Gothic" w:cstheme="majorHAnsi"/>
          <w:sz w:val="22"/>
        </w:rPr>
        <w:t>,00</w:t>
      </w:r>
      <w:r>
        <w:rPr>
          <w:rFonts w:ascii="Century Gothic" w:hAnsi="Century Gothic" w:cstheme="majorHAnsi"/>
          <w:sz w:val="22"/>
        </w:rPr>
        <w:t>;</w:t>
      </w:r>
    </w:p>
    <w:p w14:paraId="655E7249" w14:textId="5736E1F5" w:rsidR="001D180C" w:rsidRPr="00DB194E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>Forma del contratto</w:t>
      </w:r>
      <w:r w:rsidRPr="00DB194E">
        <w:rPr>
          <w:rFonts w:ascii="Century Gothic" w:hAnsi="Century Gothic" w:cstheme="majorHAnsi"/>
          <w:sz w:val="22"/>
        </w:rPr>
        <w:t xml:space="preserve">: Sottoscrizione </w:t>
      </w:r>
      <w:r w:rsidR="00E00E13">
        <w:rPr>
          <w:rFonts w:ascii="Century Gothic" w:hAnsi="Century Gothic" w:cstheme="majorHAnsi"/>
          <w:sz w:val="22"/>
        </w:rPr>
        <w:t>del</w:t>
      </w:r>
      <w:r w:rsidR="009A3A52">
        <w:rPr>
          <w:rFonts w:ascii="Century Gothic" w:hAnsi="Century Gothic" w:cstheme="majorHAnsi"/>
          <w:sz w:val="22"/>
        </w:rPr>
        <w:t>la scrittura privata</w:t>
      </w:r>
      <w:r w:rsidRPr="00DB194E">
        <w:rPr>
          <w:rFonts w:ascii="Century Gothic" w:hAnsi="Century Gothic" w:cstheme="majorHAnsi"/>
          <w:sz w:val="22"/>
        </w:rPr>
        <w:t>;</w:t>
      </w:r>
    </w:p>
    <w:p w14:paraId="73534DC2" w14:textId="77777777" w:rsidR="001D180C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>Modalità di scelta del contraente: Affidamento diretto;</w:t>
      </w:r>
    </w:p>
    <w:p w14:paraId="5DDAF340" w14:textId="67A9282E" w:rsidR="001D180C" w:rsidRDefault="001D180C" w:rsidP="001D180C">
      <w:pPr>
        <w:pStyle w:val="Paragrafoelenco"/>
        <w:widowControl/>
        <w:numPr>
          <w:ilvl w:val="0"/>
          <w:numId w:val="12"/>
        </w:numPr>
        <w:spacing w:line="276" w:lineRule="auto"/>
        <w:ind w:right="74"/>
        <w:jc w:val="both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>Contratto CCNL: non applicabile – liberi professioni</w:t>
      </w:r>
      <w:r w:rsidR="006079F5">
        <w:rPr>
          <w:rFonts w:ascii="Century Gothic" w:hAnsi="Century Gothic" w:cstheme="majorHAnsi"/>
          <w:sz w:val="22"/>
        </w:rPr>
        <w:t xml:space="preserve"> non </w:t>
      </w:r>
      <w:proofErr w:type="gramStart"/>
      <w:r w:rsidR="006079F5">
        <w:rPr>
          <w:rFonts w:ascii="Century Gothic" w:hAnsi="Century Gothic" w:cstheme="majorHAnsi"/>
          <w:sz w:val="22"/>
        </w:rPr>
        <w:t>regolamentate</w:t>
      </w:r>
      <w:r>
        <w:rPr>
          <w:rFonts w:ascii="Century Gothic" w:hAnsi="Century Gothic" w:cstheme="majorHAnsi"/>
          <w:sz w:val="22"/>
        </w:rPr>
        <w:t xml:space="preserve"> </w:t>
      </w:r>
      <w:r w:rsidR="009A3A52">
        <w:rPr>
          <w:rFonts w:ascii="Century Gothic" w:hAnsi="Century Gothic" w:cstheme="majorHAnsi"/>
          <w:sz w:val="22"/>
        </w:rPr>
        <w:t>;</w:t>
      </w:r>
      <w:proofErr w:type="gramEnd"/>
      <w:r w:rsidR="009A3A52">
        <w:rPr>
          <w:rFonts w:ascii="Century Gothic" w:hAnsi="Century Gothic" w:cstheme="majorHAnsi"/>
          <w:sz w:val="22"/>
        </w:rPr>
        <w:t xml:space="preserve"> </w:t>
      </w:r>
    </w:p>
    <w:p w14:paraId="743DB5A4" w14:textId="106A9295" w:rsidR="00800E13" w:rsidRPr="009A3A52" w:rsidRDefault="006079F5" w:rsidP="00C04B64">
      <w:pPr>
        <w:pStyle w:val="Paragrafoelenco"/>
        <w:widowControl/>
        <w:numPr>
          <w:ilvl w:val="0"/>
          <w:numId w:val="12"/>
        </w:numPr>
        <w:spacing w:line="276" w:lineRule="auto"/>
        <w:ind w:left="709" w:right="74"/>
        <w:jc w:val="both"/>
        <w:rPr>
          <w:rFonts w:ascii="Century Gothic" w:hAnsi="Century Gothic"/>
          <w:sz w:val="22"/>
          <w:szCs w:val="22"/>
        </w:rPr>
      </w:pPr>
      <w:r w:rsidRPr="009A3A52">
        <w:rPr>
          <w:rFonts w:ascii="Century Gothic" w:hAnsi="Century Gothic" w:cstheme="majorHAnsi"/>
          <w:sz w:val="22"/>
        </w:rPr>
        <w:t xml:space="preserve">Codice CPV: </w:t>
      </w:r>
      <w:r w:rsidR="00800E13" w:rsidRPr="009A3A52">
        <w:rPr>
          <w:rFonts w:ascii="Century Gothic" w:hAnsi="Century Gothic"/>
          <w:sz w:val="22"/>
          <w:szCs w:val="22"/>
        </w:rPr>
        <w:t>Prestazione prevalente / principale = Codice CPV 71</w:t>
      </w:r>
      <w:r w:rsidR="009A3A52" w:rsidRPr="009A3A52">
        <w:rPr>
          <w:rFonts w:ascii="Century Gothic" w:hAnsi="Century Gothic"/>
          <w:sz w:val="22"/>
          <w:szCs w:val="22"/>
        </w:rPr>
        <w:t>323200</w:t>
      </w:r>
      <w:r w:rsidR="00800E13" w:rsidRPr="009A3A52">
        <w:rPr>
          <w:rFonts w:ascii="Century Gothic" w:hAnsi="Century Gothic"/>
          <w:sz w:val="22"/>
          <w:szCs w:val="22"/>
        </w:rPr>
        <w:t>-</w:t>
      </w:r>
      <w:r w:rsidR="009A3A52" w:rsidRPr="009A3A52">
        <w:rPr>
          <w:rFonts w:ascii="Century Gothic" w:hAnsi="Century Gothic"/>
          <w:sz w:val="22"/>
          <w:szCs w:val="22"/>
        </w:rPr>
        <w:t>0</w:t>
      </w:r>
      <w:r w:rsidR="00800E13" w:rsidRPr="009A3A52">
        <w:rPr>
          <w:rFonts w:ascii="Century Gothic" w:hAnsi="Century Gothic"/>
          <w:sz w:val="22"/>
          <w:szCs w:val="22"/>
        </w:rPr>
        <w:t xml:space="preserve"> - Servizi </w:t>
      </w:r>
      <w:r w:rsidR="009A3A52" w:rsidRPr="009A3A52">
        <w:rPr>
          <w:rFonts w:ascii="Century Gothic" w:hAnsi="Century Gothic"/>
          <w:sz w:val="22"/>
          <w:szCs w:val="22"/>
        </w:rPr>
        <w:t xml:space="preserve">di progettazione tecnica di impianti; </w:t>
      </w:r>
    </w:p>
    <w:p w14:paraId="414D1452" w14:textId="77777777" w:rsidR="00DB194E" w:rsidRDefault="00DB194E" w:rsidP="001D180C">
      <w:pPr>
        <w:overflowPunct w:val="0"/>
        <w:autoSpaceDE w:val="0"/>
        <w:autoSpaceDN w:val="0"/>
        <w:adjustRightInd w:val="0"/>
        <w:spacing w:after="152" w:line="276" w:lineRule="auto"/>
        <w:ind w:right="146"/>
        <w:contextualSpacing/>
        <w:jc w:val="both"/>
        <w:textAlignment w:val="baseline"/>
        <w:rPr>
          <w:rFonts w:ascii="Century Gothic" w:hAnsi="Century Gothic" w:cstheme="majorHAnsi"/>
          <w:sz w:val="22"/>
        </w:rPr>
      </w:pPr>
    </w:p>
    <w:p w14:paraId="6D9A3601" w14:textId="77777777" w:rsidR="001D180C" w:rsidRDefault="001D180C" w:rsidP="001D180C">
      <w:pPr>
        <w:overflowPunct w:val="0"/>
        <w:autoSpaceDE w:val="0"/>
        <w:autoSpaceDN w:val="0"/>
        <w:adjustRightInd w:val="0"/>
        <w:spacing w:line="276" w:lineRule="auto"/>
        <w:ind w:right="146"/>
        <w:contextualSpacing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>CONSIDERATO INOLTRE CHE:</w:t>
      </w:r>
    </w:p>
    <w:p w14:paraId="5016ADC9" w14:textId="24FC36C1" w:rsidR="001D180C" w:rsidRDefault="001D180C" w:rsidP="001D180C">
      <w:pPr>
        <w:overflowPunct w:val="0"/>
        <w:autoSpaceDE w:val="0"/>
        <w:autoSpaceDN w:val="0"/>
        <w:adjustRightInd w:val="0"/>
        <w:spacing w:line="276" w:lineRule="auto"/>
        <w:ind w:left="705" w:right="146" w:hanging="705"/>
        <w:contextualSpacing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>-</w:t>
      </w:r>
      <w:r>
        <w:rPr>
          <w:rFonts w:ascii="Century Gothic" w:hAnsi="Century Gothic" w:cstheme="majorHAnsi"/>
          <w:sz w:val="22"/>
        </w:rPr>
        <w:tab/>
        <w:t>si sono verificate le disponibilità tra gli iscritti all’albo fornitori di questa società, effettuando una selezione considerando le disposizioni del regolamento per gli affidamenti sottosoglia;</w:t>
      </w:r>
    </w:p>
    <w:p w14:paraId="106810D5" w14:textId="5F7754EF" w:rsidR="001D180C" w:rsidRDefault="001D180C" w:rsidP="009A3A52">
      <w:pPr>
        <w:overflowPunct w:val="0"/>
        <w:autoSpaceDE w:val="0"/>
        <w:autoSpaceDN w:val="0"/>
        <w:adjustRightInd w:val="0"/>
        <w:spacing w:line="276" w:lineRule="auto"/>
        <w:ind w:left="705" w:right="146" w:hanging="705"/>
        <w:contextualSpacing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 xml:space="preserve">- </w:t>
      </w:r>
      <w:r>
        <w:rPr>
          <w:rFonts w:ascii="Century Gothic" w:hAnsi="Century Gothic" w:cstheme="majorHAnsi"/>
          <w:sz w:val="22"/>
        </w:rPr>
        <w:tab/>
        <w:t xml:space="preserve">il soggetto a cui è rivolto il presente affidamento diretto ha capacità tecniche più che adeguate </w:t>
      </w:r>
      <w:proofErr w:type="gramStart"/>
      <w:r>
        <w:rPr>
          <w:rFonts w:ascii="Century Gothic" w:hAnsi="Century Gothic" w:cstheme="majorHAnsi"/>
          <w:sz w:val="22"/>
        </w:rPr>
        <w:t>per</w:t>
      </w:r>
      <w:r w:rsidR="006079F5">
        <w:rPr>
          <w:rFonts w:ascii="Century Gothic" w:hAnsi="Century Gothic" w:cstheme="majorHAnsi"/>
          <w:sz w:val="22"/>
        </w:rPr>
        <w:t xml:space="preserve"> l’esecuzione</w:t>
      </w:r>
      <w:proofErr w:type="gramEnd"/>
      <w:r w:rsidR="006079F5">
        <w:rPr>
          <w:rFonts w:ascii="Century Gothic" w:hAnsi="Century Gothic" w:cstheme="majorHAnsi"/>
          <w:sz w:val="22"/>
        </w:rPr>
        <w:t xml:space="preserve"> del</w:t>
      </w:r>
      <w:r>
        <w:rPr>
          <w:rFonts w:ascii="Century Gothic" w:hAnsi="Century Gothic" w:cstheme="majorHAnsi"/>
          <w:sz w:val="22"/>
        </w:rPr>
        <w:t>le prestazioni oggetto del contratto;</w:t>
      </w:r>
    </w:p>
    <w:p w14:paraId="2708C3AA" w14:textId="760C7951" w:rsidR="00EC139C" w:rsidRPr="009A3A52" w:rsidRDefault="001D180C" w:rsidP="009A3A52">
      <w:pPr>
        <w:overflowPunct w:val="0"/>
        <w:autoSpaceDE w:val="0"/>
        <w:autoSpaceDN w:val="0"/>
        <w:adjustRightInd w:val="0"/>
        <w:spacing w:line="276" w:lineRule="auto"/>
        <w:ind w:right="147"/>
        <w:contextualSpacing/>
        <w:jc w:val="both"/>
        <w:textAlignment w:val="baseline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</w:rPr>
        <w:lastRenderedPageBreak/>
        <w:t>VISTO</w:t>
      </w:r>
      <w:r w:rsidR="009A3A52">
        <w:rPr>
          <w:rFonts w:ascii="Century Gothic" w:hAnsi="Century Gothic" w:cstheme="majorHAnsi"/>
          <w:sz w:val="22"/>
        </w:rPr>
        <w:t xml:space="preserve"> </w:t>
      </w:r>
      <w:r>
        <w:rPr>
          <w:rFonts w:ascii="Century Gothic" w:hAnsi="Century Gothic" w:cstheme="majorHAnsi"/>
          <w:sz w:val="22"/>
        </w:rPr>
        <w:t xml:space="preserve">il risultato della procedura telematica svolta sul sistema di e-procurement Traspare, adottato dalla Società - piattaforma riconosciuta da ANAC, come da verbale di </w:t>
      </w:r>
      <w:r w:rsidRPr="00EE64EC">
        <w:rPr>
          <w:rFonts w:ascii="Century Gothic" w:hAnsi="Century Gothic" w:cstheme="majorHAnsi"/>
          <w:sz w:val="22"/>
        </w:rPr>
        <w:t xml:space="preserve">procedura telematica di affidamento n. </w:t>
      </w:r>
      <w:r w:rsidRPr="00EC139C">
        <w:rPr>
          <w:rFonts w:ascii="Century Gothic" w:hAnsi="Century Gothic" w:cstheme="majorHAnsi"/>
          <w:sz w:val="22"/>
        </w:rPr>
        <w:t>0</w:t>
      </w:r>
      <w:r w:rsidR="009A3A52">
        <w:rPr>
          <w:rFonts w:ascii="Century Gothic" w:hAnsi="Century Gothic" w:cstheme="majorHAnsi"/>
          <w:sz w:val="22"/>
        </w:rPr>
        <w:t>101</w:t>
      </w:r>
      <w:r w:rsidRPr="00EC139C">
        <w:rPr>
          <w:rFonts w:ascii="Century Gothic" w:hAnsi="Century Gothic" w:cstheme="majorHAnsi"/>
          <w:sz w:val="22"/>
        </w:rPr>
        <w:t>_2025_SEVAT</w:t>
      </w:r>
      <w:r w:rsidRPr="00EE64EC">
        <w:rPr>
          <w:rFonts w:ascii="Century Gothic" w:hAnsi="Century Gothic" w:cstheme="majorHAnsi"/>
          <w:sz w:val="22"/>
        </w:rPr>
        <w:t xml:space="preserve"> allegato alla presente determinazione per l’affidamento diretto della fornitura, </w:t>
      </w:r>
      <w:r w:rsidRPr="00EE64EC">
        <w:rPr>
          <w:rFonts w:ascii="Century Gothic" w:hAnsi="Century Gothic" w:cstheme="majorHAnsi"/>
          <w:sz w:val="22"/>
          <w:szCs w:val="22"/>
        </w:rPr>
        <w:t xml:space="preserve">con cui l’operatore economico </w:t>
      </w:r>
      <w:r w:rsidR="009A3A52">
        <w:rPr>
          <w:rFonts w:ascii="Century Gothic" w:hAnsi="Century Gothic" w:cstheme="majorHAnsi"/>
          <w:sz w:val="22"/>
          <w:szCs w:val="22"/>
        </w:rPr>
        <w:t xml:space="preserve">Ing. </w:t>
      </w:r>
      <w:proofErr w:type="spellStart"/>
      <w:r w:rsidR="009A3A52">
        <w:rPr>
          <w:rFonts w:ascii="Century Gothic" w:hAnsi="Century Gothic" w:cstheme="majorHAnsi"/>
          <w:sz w:val="22"/>
          <w:szCs w:val="22"/>
        </w:rPr>
        <w:t>Bianzani</w:t>
      </w:r>
      <w:proofErr w:type="spellEnd"/>
      <w:r w:rsidR="009A3A52">
        <w:rPr>
          <w:rFonts w:ascii="Century Gothic" w:hAnsi="Century Gothic" w:cstheme="majorHAnsi"/>
          <w:sz w:val="22"/>
          <w:szCs w:val="22"/>
        </w:rPr>
        <w:t xml:space="preserve"> Nicola</w:t>
      </w:r>
      <w:r w:rsidR="00F603BE">
        <w:rPr>
          <w:rFonts w:ascii="Century Gothic" w:eastAsia="Calibri" w:hAnsi="Century Gothic" w:cs="Calibri Light"/>
          <w:sz w:val="22"/>
          <w:szCs w:val="22"/>
        </w:rPr>
        <w:t xml:space="preserve"> con sede </w:t>
      </w:r>
      <w:r w:rsidR="00F603BE" w:rsidRPr="00C971E3">
        <w:rPr>
          <w:rFonts w:ascii="Century Gothic" w:eastAsia="Calibri" w:hAnsi="Century Gothic" w:cs="Calibri Light"/>
          <w:sz w:val="22"/>
          <w:szCs w:val="22"/>
        </w:rPr>
        <w:t xml:space="preserve">legale in </w:t>
      </w:r>
      <w:r w:rsidR="00C971E3" w:rsidRPr="00C971E3">
        <w:rPr>
          <w:rFonts w:ascii="Century Gothic" w:hAnsi="Century Gothic"/>
          <w:sz w:val="22"/>
          <w:szCs w:val="22"/>
          <w:shd w:val="clear" w:color="auto" w:fill="FFFFFF"/>
        </w:rPr>
        <w:t xml:space="preserve">Via </w:t>
      </w:r>
      <w:r w:rsidR="009A3A52">
        <w:rPr>
          <w:rFonts w:ascii="Century Gothic" w:hAnsi="Century Gothic"/>
          <w:sz w:val="22"/>
          <w:szCs w:val="22"/>
          <w:shd w:val="clear" w:color="auto" w:fill="FFFFFF"/>
        </w:rPr>
        <w:t>Francesco Baracca</w:t>
      </w:r>
      <w:r w:rsidR="00C971E3" w:rsidRPr="00C971E3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="009A3A52">
        <w:rPr>
          <w:rFonts w:ascii="Century Gothic" w:hAnsi="Century Gothic"/>
          <w:sz w:val="22"/>
          <w:szCs w:val="22"/>
          <w:shd w:val="clear" w:color="auto" w:fill="FFFFFF"/>
        </w:rPr>
        <w:t>4</w:t>
      </w:r>
      <w:r w:rsidR="00C971E3" w:rsidRPr="00C971E3">
        <w:rPr>
          <w:rFonts w:ascii="Century Gothic" w:hAnsi="Century Gothic"/>
          <w:sz w:val="22"/>
          <w:szCs w:val="22"/>
          <w:shd w:val="clear" w:color="auto" w:fill="FFFFFF"/>
        </w:rPr>
        <w:t xml:space="preserve">, </w:t>
      </w:r>
      <w:r w:rsidR="009A3A52">
        <w:rPr>
          <w:rFonts w:ascii="Century Gothic" w:hAnsi="Century Gothic"/>
          <w:sz w:val="22"/>
          <w:szCs w:val="22"/>
          <w:shd w:val="clear" w:color="auto" w:fill="FFFFFF"/>
        </w:rPr>
        <w:t xml:space="preserve">Brescia </w:t>
      </w:r>
      <w:r w:rsidR="00C971E3" w:rsidRPr="00C971E3">
        <w:rPr>
          <w:rFonts w:ascii="Century Gothic" w:hAnsi="Century Gothic"/>
          <w:sz w:val="22"/>
          <w:szCs w:val="22"/>
          <w:shd w:val="clear" w:color="auto" w:fill="FFFFFF"/>
        </w:rPr>
        <w:t>(BS), 25</w:t>
      </w:r>
      <w:r w:rsidR="009A3A52">
        <w:rPr>
          <w:rFonts w:ascii="Century Gothic" w:hAnsi="Century Gothic"/>
          <w:sz w:val="22"/>
          <w:szCs w:val="22"/>
          <w:shd w:val="clear" w:color="auto" w:fill="FFFFFF"/>
        </w:rPr>
        <w:t>12</w:t>
      </w:r>
      <w:r w:rsidR="00C971E3" w:rsidRPr="00C971E3">
        <w:rPr>
          <w:rFonts w:ascii="Century Gothic" w:hAnsi="Century Gothic"/>
          <w:sz w:val="22"/>
          <w:szCs w:val="22"/>
          <w:shd w:val="clear" w:color="auto" w:fill="FFFFFF"/>
        </w:rPr>
        <w:t>8</w:t>
      </w:r>
      <w:r w:rsidR="00F603BE" w:rsidRPr="00C971E3">
        <w:rPr>
          <w:rFonts w:ascii="Century Gothic" w:eastAsia="Calibri" w:hAnsi="Century Gothic" w:cs="Calibri Light"/>
          <w:sz w:val="22"/>
          <w:szCs w:val="22"/>
        </w:rPr>
        <w:t xml:space="preserve">, codice fiscale </w:t>
      </w:r>
      <w:r w:rsidR="009A3A52">
        <w:rPr>
          <w:rFonts w:ascii="Century Gothic" w:hAnsi="Century Gothic"/>
          <w:sz w:val="22"/>
          <w:szCs w:val="22"/>
          <w:shd w:val="clear" w:color="auto" w:fill="FFFFFF"/>
        </w:rPr>
        <w:t>BNZNCL78A02B157P</w:t>
      </w:r>
      <w:r w:rsidR="00F603BE" w:rsidRPr="00C971E3">
        <w:rPr>
          <w:rFonts w:ascii="Century Gothic" w:eastAsia="Calibri" w:hAnsi="Century Gothic" w:cs="Calibri Light"/>
          <w:sz w:val="22"/>
          <w:szCs w:val="22"/>
        </w:rPr>
        <w:t xml:space="preserve"> e partita I.V.</w:t>
      </w:r>
      <w:r w:rsidR="009A3A52">
        <w:rPr>
          <w:rFonts w:ascii="Century Gothic" w:eastAsia="Calibri" w:hAnsi="Century Gothic" w:cs="Calibri Light"/>
          <w:sz w:val="22"/>
          <w:szCs w:val="22"/>
        </w:rPr>
        <w:t>A. 02957190982</w:t>
      </w:r>
      <w:r w:rsidR="00EC139C" w:rsidRPr="00C971E3">
        <w:rPr>
          <w:rFonts w:ascii="Century Gothic" w:hAnsi="Century Gothic" w:cstheme="majorHAnsi"/>
          <w:sz w:val="22"/>
          <w:szCs w:val="22"/>
        </w:rPr>
        <w:t>,</w:t>
      </w:r>
      <w:r w:rsidR="00800E13" w:rsidRPr="00C971E3">
        <w:rPr>
          <w:rFonts w:ascii="Century Gothic" w:hAnsi="Century Gothic" w:cstheme="majorHAnsi"/>
          <w:sz w:val="22"/>
          <w:szCs w:val="22"/>
        </w:rPr>
        <w:t xml:space="preserve"> iscritto all’</w:t>
      </w:r>
      <w:r w:rsidR="009A3A52">
        <w:rPr>
          <w:rFonts w:ascii="Century Gothic" w:hAnsi="Century Gothic" w:cstheme="majorHAnsi"/>
          <w:sz w:val="22"/>
          <w:szCs w:val="22"/>
        </w:rPr>
        <w:t>Ordine degli Ingegneri</w:t>
      </w:r>
      <w:r w:rsidR="00800E13" w:rsidRPr="00C971E3">
        <w:rPr>
          <w:rFonts w:ascii="Century Gothic" w:hAnsi="Century Gothic" w:cstheme="majorHAnsi"/>
          <w:sz w:val="22"/>
          <w:szCs w:val="22"/>
        </w:rPr>
        <w:t xml:space="preserve"> della provincia di Brescia al n. </w:t>
      </w:r>
      <w:r w:rsidR="00C971E3" w:rsidRPr="00C971E3">
        <w:rPr>
          <w:rFonts w:ascii="Century Gothic" w:hAnsi="Century Gothic" w:cstheme="majorHAnsi"/>
          <w:sz w:val="22"/>
          <w:szCs w:val="22"/>
        </w:rPr>
        <w:t>4</w:t>
      </w:r>
      <w:r w:rsidR="009A3A52">
        <w:rPr>
          <w:rFonts w:ascii="Century Gothic" w:hAnsi="Century Gothic" w:cstheme="majorHAnsi"/>
          <w:sz w:val="22"/>
          <w:szCs w:val="22"/>
        </w:rPr>
        <w:t>202</w:t>
      </w:r>
      <w:r w:rsidR="00800E13">
        <w:rPr>
          <w:rFonts w:ascii="Century Gothic" w:hAnsi="Century Gothic" w:cstheme="majorHAnsi"/>
          <w:sz w:val="22"/>
        </w:rPr>
        <w:t xml:space="preserve">, </w:t>
      </w:r>
      <w:r w:rsidR="00EC139C">
        <w:rPr>
          <w:rFonts w:ascii="Century Gothic" w:hAnsi="Century Gothic" w:cstheme="majorHAnsi"/>
          <w:sz w:val="22"/>
        </w:rPr>
        <w:t xml:space="preserve"> </w:t>
      </w:r>
      <w:r w:rsidRPr="00EE64EC">
        <w:rPr>
          <w:rFonts w:ascii="Century Gothic" w:hAnsi="Century Gothic" w:cstheme="majorHAnsi"/>
          <w:sz w:val="22"/>
        </w:rPr>
        <w:t xml:space="preserve">ha fornito </w:t>
      </w:r>
      <w:r w:rsidRPr="00C971E3">
        <w:rPr>
          <w:rFonts w:ascii="Century Gothic" w:hAnsi="Century Gothic" w:cstheme="majorHAnsi"/>
          <w:sz w:val="22"/>
        </w:rPr>
        <w:t>offerta per lo svolgimento delle prestazioni sopra indicat</w:t>
      </w:r>
      <w:r w:rsidR="006079F5" w:rsidRPr="00C971E3">
        <w:rPr>
          <w:rFonts w:ascii="Century Gothic" w:hAnsi="Century Gothic" w:cstheme="majorHAnsi"/>
          <w:sz w:val="22"/>
        </w:rPr>
        <w:t>e</w:t>
      </w:r>
      <w:r w:rsidR="00EC139C" w:rsidRPr="00C971E3">
        <w:rPr>
          <w:rFonts w:ascii="Century Gothic" w:hAnsi="Century Gothic" w:cstheme="majorHAnsi"/>
          <w:sz w:val="22"/>
        </w:rPr>
        <w:t xml:space="preserve"> al prezzo di € </w:t>
      </w:r>
      <w:r w:rsidR="00E00E13" w:rsidRPr="00C971E3">
        <w:rPr>
          <w:rFonts w:ascii="Century Gothic" w:hAnsi="Century Gothic" w:cstheme="majorHAnsi"/>
          <w:sz w:val="22"/>
        </w:rPr>
        <w:t>13</w:t>
      </w:r>
      <w:r w:rsidR="00712584">
        <w:rPr>
          <w:rFonts w:ascii="Century Gothic" w:hAnsi="Century Gothic" w:cstheme="majorHAnsi"/>
          <w:sz w:val="22"/>
        </w:rPr>
        <w:t>2</w:t>
      </w:r>
      <w:r w:rsidR="00E00E13" w:rsidRPr="00C971E3">
        <w:rPr>
          <w:rFonts w:ascii="Century Gothic" w:hAnsi="Century Gothic" w:cstheme="majorHAnsi"/>
          <w:sz w:val="22"/>
        </w:rPr>
        <w:t>.0</w:t>
      </w:r>
      <w:r w:rsidR="00712584">
        <w:rPr>
          <w:rFonts w:ascii="Century Gothic" w:hAnsi="Century Gothic" w:cstheme="majorHAnsi"/>
          <w:sz w:val="22"/>
        </w:rPr>
        <w:t>5</w:t>
      </w:r>
      <w:r w:rsidR="00E00E13" w:rsidRPr="00C971E3">
        <w:rPr>
          <w:rFonts w:ascii="Century Gothic" w:hAnsi="Century Gothic" w:cstheme="majorHAnsi"/>
          <w:sz w:val="22"/>
        </w:rPr>
        <w:t>0,00</w:t>
      </w:r>
      <w:r w:rsidR="00EC139C" w:rsidRPr="00C971E3">
        <w:rPr>
          <w:rFonts w:ascii="Century Gothic" w:hAnsi="Century Gothic" w:cstheme="majorHAnsi"/>
          <w:sz w:val="22"/>
        </w:rPr>
        <w:t>, al netto di cassa assistenza e I.V.A.</w:t>
      </w:r>
      <w:r w:rsidR="00712584">
        <w:rPr>
          <w:rFonts w:ascii="Century Gothic" w:hAnsi="Century Gothic" w:cstheme="majorHAnsi"/>
          <w:sz w:val="22"/>
        </w:rPr>
        <w:t>;</w:t>
      </w:r>
    </w:p>
    <w:p w14:paraId="05714608" w14:textId="77777777" w:rsidR="00EC139C" w:rsidRDefault="00EC139C" w:rsidP="001D180C">
      <w:pPr>
        <w:pStyle w:val="Default"/>
        <w:spacing w:line="276" w:lineRule="auto"/>
        <w:ind w:left="705" w:hanging="705"/>
        <w:jc w:val="both"/>
        <w:rPr>
          <w:rFonts w:ascii="Century Gothic" w:hAnsi="Century Gothic" w:cstheme="majorHAnsi"/>
          <w:sz w:val="22"/>
        </w:rPr>
      </w:pPr>
    </w:p>
    <w:p w14:paraId="48D91E5B" w14:textId="77777777" w:rsidR="001D180C" w:rsidRDefault="001D180C" w:rsidP="001D180C">
      <w:pPr>
        <w:overflowPunct w:val="0"/>
        <w:autoSpaceDE w:val="0"/>
        <w:autoSpaceDN w:val="0"/>
        <w:adjustRightInd w:val="0"/>
        <w:spacing w:line="276" w:lineRule="auto"/>
        <w:ind w:right="147"/>
        <w:contextualSpacing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>DATO ATTO CHE:</w:t>
      </w:r>
    </w:p>
    <w:p w14:paraId="4C6E73D5" w14:textId="77777777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567" w:hanging="567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la proposta si ritiene congrua a quanto richiesto;</w:t>
      </w:r>
    </w:p>
    <w:p w14:paraId="445E8600" w14:textId="77777777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567" w:hanging="567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l’operatore economico è idoneo tecnicamente a svolgere le prestazioni oggetto del presente atto;</w:t>
      </w:r>
    </w:p>
    <w:p w14:paraId="79477CBF" w14:textId="77777777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567" w:hanging="567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l’operatore economico ha fornito in sede di procedura di formulazione dell’offerta sulla </w:t>
      </w:r>
      <w:proofErr w:type="gramStart"/>
      <w:r>
        <w:rPr>
          <w:rFonts w:ascii="Century Gothic" w:hAnsi="Century Gothic" w:cstheme="majorHAnsi"/>
          <w:sz w:val="22"/>
          <w:szCs w:val="22"/>
        </w:rPr>
        <w:t>piattaforma</w:t>
      </w:r>
      <w:proofErr w:type="gramEnd"/>
      <w:r>
        <w:rPr>
          <w:rFonts w:ascii="Century Gothic" w:hAnsi="Century Gothic" w:cstheme="majorHAnsi"/>
          <w:sz w:val="22"/>
          <w:szCs w:val="22"/>
        </w:rPr>
        <w:t xml:space="preserve"> Traspare, specifica dichiarazione sostitutiva in merito al possesso dei requisiti di carattere generale, che comprendono anche l’assenza di impedimenti a contrarre con pubbliche amministrazioni carico dell’operatore stesso;</w:t>
      </w:r>
    </w:p>
    <w:p w14:paraId="29FBB804" w14:textId="77777777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567" w:hanging="567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il servizio, affidato con il presente atto, è soggetto alla legge 13 agosto 2010 n. 136 e </w:t>
      </w:r>
      <w:proofErr w:type="spellStart"/>
      <w:proofErr w:type="gramStart"/>
      <w:r>
        <w:rPr>
          <w:rFonts w:ascii="Century Gothic" w:hAnsi="Century Gothic" w:cstheme="majorHAnsi"/>
          <w:sz w:val="22"/>
          <w:szCs w:val="22"/>
        </w:rPr>
        <w:t>ss.mm.ii</w:t>
      </w:r>
      <w:proofErr w:type="spellEnd"/>
      <w:proofErr w:type="gramEnd"/>
      <w:r>
        <w:rPr>
          <w:rFonts w:ascii="Century Gothic" w:hAnsi="Century Gothic" w:cstheme="majorHAnsi"/>
          <w:sz w:val="22"/>
          <w:szCs w:val="22"/>
        </w:rPr>
        <w:t xml:space="preserve"> in materia di tracciabilità dei pagamenti;</w:t>
      </w:r>
    </w:p>
    <w:p w14:paraId="38CF3C88" w14:textId="7303ECAE" w:rsidR="001D180C" w:rsidRDefault="001D180C" w:rsidP="001D180C">
      <w:pPr>
        <w:autoSpaceDE w:val="0"/>
        <w:autoSpaceDN w:val="0"/>
        <w:spacing w:line="276" w:lineRule="auto"/>
        <w:ind w:left="567" w:hanging="567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_</w:t>
      </w:r>
      <w:r>
        <w:rPr>
          <w:rFonts w:ascii="Century Gothic" w:hAnsi="Century Gothic" w:cstheme="majorHAnsi"/>
          <w:sz w:val="22"/>
          <w:szCs w:val="22"/>
        </w:rPr>
        <w:tab/>
        <w:t>ai sensi dell'art. 3 della legge 136/2010 e successive modifiche e integrazioni si è provveduto a richiedere il CIG (Codice Identificativo della Gara) all’Autorità Nazionale Anticorruzione (ANAC), che risulta essere il seguente: CIG:</w:t>
      </w:r>
      <w:r w:rsidRPr="00D173C3">
        <w:rPr>
          <w:rFonts w:ascii="Century Gothic" w:hAnsi="Century Gothic" w:cstheme="majorHAnsi"/>
          <w:sz w:val="22"/>
          <w:szCs w:val="22"/>
        </w:rPr>
        <w:t xml:space="preserve"> </w:t>
      </w:r>
      <w:r w:rsidR="007C1AC0" w:rsidRPr="007C1AC0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>B810D318C3</w:t>
      </w:r>
      <w:r w:rsidR="007C1AC0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>;</w:t>
      </w:r>
    </w:p>
    <w:p w14:paraId="01520766" w14:textId="789BBFAD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567" w:hanging="567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si procederà, ad esecutività del presente atto, alla pubblicazione delle informazioni relative agli adempimenti relativi alle prescrizione in materia di trasparenza  dei contratti pubblici sul sito della società </w:t>
      </w:r>
      <w:proofErr w:type="spellStart"/>
      <w:r>
        <w:rPr>
          <w:rFonts w:ascii="Century Gothic" w:hAnsi="Century Gothic" w:cstheme="majorHAnsi"/>
          <w:sz w:val="22"/>
          <w:szCs w:val="22"/>
        </w:rPr>
        <w:t>Se.Va.T</w:t>
      </w:r>
      <w:proofErr w:type="spellEnd"/>
      <w:r>
        <w:rPr>
          <w:rFonts w:ascii="Century Gothic" w:hAnsi="Century Gothic" w:cstheme="majorHAnsi"/>
          <w:sz w:val="22"/>
          <w:szCs w:val="22"/>
        </w:rPr>
        <w:t xml:space="preserve">. alla sezione “Amministrazione trasparente – Bandi di gara e contratti” e/o sulla Piattaforma di Approvvigionamento Digitale TRASPARE, secondo modalità e disposizioni dell’art. 37 del D.lgs. 33/2013, dell’art. 1 comma 32 della legge 190/2012, dell’articolo 28 del </w:t>
      </w:r>
      <w:proofErr w:type="spellStart"/>
      <w:r>
        <w:rPr>
          <w:rFonts w:ascii="Century Gothic" w:hAnsi="Century Gothic" w:cstheme="majorHAnsi"/>
          <w:sz w:val="22"/>
          <w:szCs w:val="22"/>
        </w:rPr>
        <w:t>D.Lgs</w:t>
      </w:r>
      <w:proofErr w:type="spellEnd"/>
      <w:r>
        <w:rPr>
          <w:rFonts w:ascii="Century Gothic" w:hAnsi="Century Gothic" w:cstheme="majorHAnsi"/>
          <w:sz w:val="22"/>
          <w:szCs w:val="22"/>
        </w:rPr>
        <w:t xml:space="preserve"> 36/2023, e della delibera ANAC n. 264 del 20 giugno 2023, come modificata e integrata con </w:t>
      </w:r>
      <w:r w:rsidRPr="003A539D">
        <w:rPr>
          <w:rFonts w:ascii="Century Gothic" w:hAnsi="Century Gothic" w:cstheme="majorHAnsi"/>
          <w:sz w:val="22"/>
          <w:szCs w:val="22"/>
        </w:rPr>
        <w:t>delibera n. 601 del 19 dicembre 2023</w:t>
      </w:r>
      <w:r w:rsidR="007C1AC0">
        <w:rPr>
          <w:rFonts w:ascii="Century Gothic" w:hAnsi="Century Gothic" w:cstheme="majorHAnsi"/>
          <w:sz w:val="22"/>
          <w:szCs w:val="22"/>
        </w:rPr>
        <w:t>;</w:t>
      </w:r>
    </w:p>
    <w:p w14:paraId="42F28D4D" w14:textId="77777777" w:rsidR="001D180C" w:rsidRDefault="001D180C" w:rsidP="001D180C">
      <w:pPr>
        <w:overflowPunct w:val="0"/>
        <w:autoSpaceDE w:val="0"/>
        <w:autoSpaceDN w:val="0"/>
        <w:adjustRightInd w:val="0"/>
        <w:spacing w:line="276" w:lineRule="auto"/>
        <w:ind w:right="147"/>
        <w:jc w:val="both"/>
        <w:textAlignment w:val="baseline"/>
        <w:rPr>
          <w:rFonts w:ascii="Century Gothic" w:hAnsi="Century Gothic" w:cstheme="majorHAnsi"/>
          <w:sz w:val="22"/>
          <w:szCs w:val="24"/>
        </w:rPr>
      </w:pPr>
    </w:p>
    <w:p w14:paraId="6E23941E" w14:textId="77777777" w:rsidR="001D180C" w:rsidRDefault="001D180C" w:rsidP="001D180C">
      <w:pPr>
        <w:autoSpaceDE w:val="0"/>
        <w:autoSpaceDN w:val="0"/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VERIFICATO che:</w:t>
      </w:r>
    </w:p>
    <w:p w14:paraId="65F643B3" w14:textId="77777777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567" w:hanging="567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il programma dei pagamenti conseguente all’assunzione degli impegni di spesa del presente provvedimento è compatibile con i relativi stanziamenti di bilancio e con i flussi di cassa della Società;</w:t>
      </w:r>
    </w:p>
    <w:p w14:paraId="33900D29" w14:textId="77777777" w:rsidR="001D180C" w:rsidRDefault="001D180C" w:rsidP="001D180C">
      <w:pPr>
        <w:autoSpaceDE w:val="0"/>
        <w:autoSpaceDN w:val="0"/>
        <w:spacing w:line="276" w:lineRule="auto"/>
        <w:jc w:val="both"/>
        <w:rPr>
          <w:rFonts w:ascii="Century Gothic" w:hAnsi="Century Gothic"/>
          <w:sz w:val="22"/>
          <w:szCs w:val="22"/>
        </w:rPr>
      </w:pPr>
    </w:p>
    <w:p w14:paraId="38559D49" w14:textId="77777777" w:rsidR="001D180C" w:rsidRDefault="001D180C" w:rsidP="001D180C">
      <w:pPr>
        <w:autoSpaceDE w:val="0"/>
        <w:autoSpaceDN w:val="0"/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VISTO il D.lgs. N. 36/2023;</w:t>
      </w:r>
    </w:p>
    <w:p w14:paraId="477FC69F" w14:textId="77777777" w:rsidR="001D180C" w:rsidRDefault="001D180C" w:rsidP="001D180C">
      <w:pPr>
        <w:autoSpaceDE w:val="0"/>
        <w:autoSpaceDN w:val="0"/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VISTO il D.lgs. n.267 del 18 agosto 2000;</w:t>
      </w:r>
    </w:p>
    <w:p w14:paraId="0BF39815" w14:textId="77777777" w:rsidR="001D180C" w:rsidRDefault="001D180C" w:rsidP="001D180C">
      <w:pPr>
        <w:autoSpaceDE w:val="0"/>
        <w:autoSpaceDN w:val="0"/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VISTA la Legge 241/90;</w:t>
      </w:r>
    </w:p>
    <w:p w14:paraId="1B1E1AB3" w14:textId="77777777" w:rsidR="001D180C" w:rsidRDefault="001D180C" w:rsidP="001D180C">
      <w:pPr>
        <w:autoSpaceDE w:val="0"/>
        <w:autoSpaceDN w:val="0"/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VISTO il D.lgs. 81/08;</w:t>
      </w:r>
    </w:p>
    <w:p w14:paraId="6CF2F9ED" w14:textId="25C493EC" w:rsidR="001D180C" w:rsidRDefault="001D180C" w:rsidP="001D180C">
      <w:pPr>
        <w:autoSpaceDE w:val="0"/>
        <w:autoSpaceDN w:val="0"/>
        <w:spacing w:before="240" w:after="240" w:line="276" w:lineRule="auto"/>
        <w:jc w:val="center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DETERMINA</w:t>
      </w:r>
    </w:p>
    <w:p w14:paraId="406ADC14" w14:textId="77777777" w:rsidR="001D180C" w:rsidRDefault="001D180C" w:rsidP="001D180C">
      <w:pPr>
        <w:widowControl/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DI APPROVARE i richiami, le premesse e l’intera narrativa quali parti integranti e sostanziali del dispositivo;</w:t>
      </w:r>
    </w:p>
    <w:p w14:paraId="5E89C328" w14:textId="77777777" w:rsidR="001D180C" w:rsidRDefault="001D180C" w:rsidP="001D180C">
      <w:pPr>
        <w:spacing w:line="276" w:lineRule="auto"/>
        <w:ind w:left="567"/>
        <w:contextualSpacing/>
        <w:jc w:val="both"/>
        <w:rPr>
          <w:rFonts w:ascii="Century Gothic" w:hAnsi="Century Gothic" w:cs="Arial"/>
          <w:sz w:val="22"/>
          <w:szCs w:val="22"/>
        </w:rPr>
      </w:pPr>
    </w:p>
    <w:p w14:paraId="6610B1D7" w14:textId="33591063" w:rsidR="001D180C" w:rsidRDefault="001D180C" w:rsidP="001D180C">
      <w:pPr>
        <w:widowControl/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DI APPROVARE il verbale della procedura telematica sulla piattaforma Traspare n. </w:t>
      </w:r>
      <w:r w:rsidRPr="002937EA">
        <w:rPr>
          <w:rFonts w:ascii="Century Gothic" w:hAnsi="Century Gothic" w:cstheme="majorHAnsi"/>
          <w:sz w:val="22"/>
        </w:rPr>
        <w:t>0</w:t>
      </w:r>
      <w:r w:rsidR="007C1AC0">
        <w:rPr>
          <w:rFonts w:ascii="Century Gothic" w:hAnsi="Century Gothic" w:cstheme="majorHAnsi"/>
          <w:sz w:val="22"/>
        </w:rPr>
        <w:t>101</w:t>
      </w:r>
      <w:r w:rsidRPr="002937EA">
        <w:rPr>
          <w:rFonts w:ascii="Century Gothic" w:hAnsi="Century Gothic" w:cstheme="majorHAnsi"/>
          <w:sz w:val="22"/>
        </w:rPr>
        <w:t>_2025</w:t>
      </w:r>
      <w:r>
        <w:rPr>
          <w:rFonts w:ascii="Century Gothic" w:hAnsi="Century Gothic" w:cstheme="majorHAnsi"/>
          <w:sz w:val="22"/>
        </w:rPr>
        <w:t xml:space="preserve">_SEVAT </w:t>
      </w:r>
      <w:r>
        <w:rPr>
          <w:rFonts w:ascii="Century Gothic" w:hAnsi="Century Gothic"/>
          <w:sz w:val="22"/>
          <w:szCs w:val="22"/>
        </w:rPr>
        <w:t>affidando quanto segue:</w:t>
      </w:r>
    </w:p>
    <w:p w14:paraId="29837CEB" w14:textId="20CB447F" w:rsidR="001D180C" w:rsidRPr="00EE64EC" w:rsidRDefault="001D180C" w:rsidP="0043430C">
      <w:pPr>
        <w:pStyle w:val="Paragrafoelenco"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left="714" w:right="147" w:hanging="357"/>
        <w:jc w:val="both"/>
        <w:textAlignment w:val="baseline"/>
        <w:rPr>
          <w:rFonts w:ascii="Century Gothic" w:hAnsi="Century Gothic" w:cstheme="majorHAnsi"/>
          <w:sz w:val="22"/>
          <w:szCs w:val="24"/>
        </w:rPr>
      </w:pPr>
      <w:r w:rsidRPr="00EC139C">
        <w:rPr>
          <w:rFonts w:ascii="Century Gothic" w:hAnsi="Century Gothic" w:cstheme="majorHAnsi"/>
          <w:sz w:val="22"/>
        </w:rPr>
        <w:t xml:space="preserve">Oggetto dell’affidamento: </w:t>
      </w:r>
      <w:r w:rsidR="00800E13" w:rsidRPr="00800E13">
        <w:rPr>
          <w:rFonts w:ascii="Century Gothic" w:eastAsia="MS Mincho" w:hAnsi="Century Gothic"/>
          <w:bCs/>
          <w:kern w:val="3"/>
          <w:sz w:val="22"/>
          <w:szCs w:val="22"/>
          <w:lang w:eastAsia="zh-CN"/>
        </w:rPr>
        <w:t xml:space="preserve">affidamento </w:t>
      </w:r>
      <w:r w:rsidR="00800E13">
        <w:rPr>
          <w:rFonts w:ascii="Century Gothic" w:eastAsia="MS Mincho" w:hAnsi="Century Gothic"/>
          <w:bCs/>
          <w:kern w:val="3"/>
          <w:sz w:val="22"/>
          <w:szCs w:val="22"/>
          <w:lang w:eastAsia="zh-CN"/>
        </w:rPr>
        <w:t>d</w:t>
      </w:r>
      <w:r w:rsidR="00800E13" w:rsidRPr="00800E13">
        <w:rPr>
          <w:rFonts w:ascii="Century Gothic" w:eastAsia="MS Mincho" w:hAnsi="Century Gothic"/>
          <w:bCs/>
          <w:kern w:val="3"/>
          <w:sz w:val="22"/>
          <w:szCs w:val="22"/>
          <w:lang w:eastAsia="zh-CN"/>
        </w:rPr>
        <w:t xml:space="preserve">i “servizi </w:t>
      </w:r>
      <w:r w:rsidR="007C1AC0">
        <w:rPr>
          <w:rFonts w:ascii="Century Gothic" w:eastAsia="MS Mincho" w:hAnsi="Century Gothic"/>
          <w:bCs/>
          <w:kern w:val="3"/>
          <w:sz w:val="22"/>
          <w:szCs w:val="22"/>
          <w:lang w:eastAsia="zh-CN"/>
        </w:rPr>
        <w:t>di progettazione degli impianti elettrici nell’ambito di lavori pubblici”</w:t>
      </w:r>
      <w:r w:rsidR="00B938B2">
        <w:rPr>
          <w:rFonts w:ascii="Century Gothic" w:eastAsia="MS Mincho" w:hAnsi="Century Gothic"/>
          <w:bCs/>
          <w:kern w:val="3"/>
          <w:sz w:val="22"/>
          <w:szCs w:val="22"/>
          <w:lang w:eastAsia="zh-CN"/>
        </w:rPr>
        <w:t>;</w:t>
      </w:r>
    </w:p>
    <w:p w14:paraId="1A55C5E8" w14:textId="679E5F65" w:rsidR="00EE64EC" w:rsidRPr="00EC139C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 w:rsidRPr="00EC139C">
        <w:rPr>
          <w:rFonts w:ascii="Century Gothic" w:hAnsi="Century Gothic" w:cstheme="majorHAnsi"/>
          <w:sz w:val="22"/>
        </w:rPr>
        <w:t xml:space="preserve">Importo del contratto: € </w:t>
      </w:r>
      <w:r w:rsidR="00E00E13">
        <w:rPr>
          <w:rFonts w:ascii="Century Gothic" w:hAnsi="Century Gothic" w:cstheme="majorHAnsi"/>
          <w:b/>
          <w:bCs/>
          <w:sz w:val="22"/>
        </w:rPr>
        <w:t>13</w:t>
      </w:r>
      <w:r w:rsidR="00712584">
        <w:rPr>
          <w:rFonts w:ascii="Century Gothic" w:hAnsi="Century Gothic" w:cstheme="majorHAnsi"/>
          <w:b/>
          <w:bCs/>
          <w:sz w:val="22"/>
        </w:rPr>
        <w:t>2</w:t>
      </w:r>
      <w:r w:rsidR="00E00E13">
        <w:rPr>
          <w:rFonts w:ascii="Century Gothic" w:hAnsi="Century Gothic" w:cstheme="majorHAnsi"/>
          <w:b/>
          <w:bCs/>
          <w:sz w:val="22"/>
        </w:rPr>
        <w:t>.0</w:t>
      </w:r>
      <w:r w:rsidR="00712584">
        <w:rPr>
          <w:rFonts w:ascii="Century Gothic" w:hAnsi="Century Gothic" w:cstheme="majorHAnsi"/>
          <w:b/>
          <w:bCs/>
          <w:sz w:val="22"/>
        </w:rPr>
        <w:t>5</w:t>
      </w:r>
      <w:r w:rsidR="00E00E13">
        <w:rPr>
          <w:rFonts w:ascii="Century Gothic" w:hAnsi="Century Gothic" w:cstheme="majorHAnsi"/>
          <w:b/>
          <w:bCs/>
          <w:sz w:val="22"/>
        </w:rPr>
        <w:t>0</w:t>
      </w:r>
      <w:r w:rsidR="00EC139C" w:rsidRPr="002A3F01">
        <w:rPr>
          <w:rFonts w:ascii="Century Gothic" w:eastAsiaTheme="minorHAnsi" w:hAnsi="Century Gothic" w:cstheme="majorHAnsi"/>
          <w:b/>
          <w:bCs/>
          <w:snapToGrid/>
          <w:sz w:val="22"/>
          <w:lang w:eastAsia="en-US"/>
        </w:rPr>
        <w:t>,</w:t>
      </w:r>
      <w:r w:rsidR="002A3F01" w:rsidRPr="002A3F01">
        <w:rPr>
          <w:rFonts w:ascii="Century Gothic" w:eastAsiaTheme="minorHAnsi" w:hAnsi="Century Gothic" w:cstheme="majorHAnsi"/>
          <w:b/>
          <w:bCs/>
          <w:snapToGrid/>
          <w:sz w:val="22"/>
          <w:lang w:eastAsia="en-US"/>
        </w:rPr>
        <w:t>00</w:t>
      </w:r>
      <w:r w:rsidR="00EC139C" w:rsidRPr="00EC139C">
        <w:rPr>
          <w:rFonts w:ascii="Century Gothic" w:eastAsiaTheme="minorHAnsi" w:hAnsi="Century Gothic" w:cstheme="majorHAnsi"/>
          <w:snapToGrid/>
          <w:sz w:val="22"/>
          <w:lang w:eastAsia="en-US"/>
        </w:rPr>
        <w:t>,</w:t>
      </w:r>
      <w:r w:rsidRPr="00EC139C">
        <w:rPr>
          <w:rFonts w:ascii="Century Gothic" w:hAnsi="Century Gothic" w:cstheme="majorHAnsi"/>
          <w:sz w:val="22"/>
        </w:rPr>
        <w:t xml:space="preserve"> </w:t>
      </w:r>
      <w:r w:rsidR="00A94529" w:rsidRPr="00C971E3">
        <w:rPr>
          <w:rFonts w:ascii="Century Gothic" w:hAnsi="Century Gothic" w:cstheme="majorHAnsi"/>
          <w:sz w:val="22"/>
        </w:rPr>
        <w:t>al netto di cassa assistenza e I.V.A</w:t>
      </w:r>
      <w:r w:rsidR="00712584">
        <w:rPr>
          <w:rFonts w:ascii="Century Gothic" w:hAnsi="Century Gothic" w:cstheme="majorHAnsi"/>
          <w:sz w:val="22"/>
        </w:rPr>
        <w:t>;</w:t>
      </w:r>
    </w:p>
    <w:p w14:paraId="089E7770" w14:textId="3930E096" w:rsidR="001D180C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 xml:space="preserve">codice CIG: </w:t>
      </w:r>
      <w:r w:rsidR="00B938B2" w:rsidRPr="007C1AC0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>B810D318C3</w:t>
      </w:r>
      <w:r w:rsidR="00B938B2">
        <w:rPr>
          <w:rFonts w:ascii="Century Gothic" w:eastAsia="MS Mincho" w:hAnsi="Century Gothic"/>
          <w:b/>
          <w:caps/>
          <w:kern w:val="3"/>
          <w:sz w:val="22"/>
          <w:szCs w:val="22"/>
          <w:lang w:eastAsia="zh-CN"/>
        </w:rPr>
        <w:t>;</w:t>
      </w:r>
    </w:p>
    <w:p w14:paraId="0F5309BC" w14:textId="1B934A71" w:rsidR="003A539D" w:rsidRPr="00C05D29" w:rsidRDefault="003A539D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 w:rsidRPr="00C05D29">
        <w:rPr>
          <w:rFonts w:ascii="Century Gothic" w:hAnsi="Century Gothic" w:cstheme="majorHAnsi"/>
          <w:sz w:val="22"/>
        </w:rPr>
        <w:t xml:space="preserve">codice C.P.V.: </w:t>
      </w:r>
      <w:r w:rsidR="00AC6666" w:rsidRPr="00AC6666">
        <w:rPr>
          <w:rFonts w:ascii="Century Gothic" w:hAnsi="Century Gothic"/>
          <w:sz w:val="22"/>
          <w:szCs w:val="22"/>
        </w:rPr>
        <w:t>Prestazione prevalente / principale = Codice CPV 71</w:t>
      </w:r>
      <w:r w:rsidR="00B938B2">
        <w:rPr>
          <w:rFonts w:ascii="Century Gothic" w:hAnsi="Century Gothic"/>
          <w:sz w:val="22"/>
          <w:szCs w:val="22"/>
        </w:rPr>
        <w:t>323200-0</w:t>
      </w:r>
      <w:r w:rsidR="00AC6666" w:rsidRPr="00AC6666">
        <w:rPr>
          <w:rFonts w:ascii="Century Gothic" w:hAnsi="Century Gothic"/>
          <w:sz w:val="22"/>
          <w:szCs w:val="22"/>
        </w:rPr>
        <w:t xml:space="preserve"> </w:t>
      </w:r>
      <w:r w:rsidR="00B938B2">
        <w:rPr>
          <w:rFonts w:ascii="Century Gothic" w:hAnsi="Century Gothic"/>
          <w:sz w:val="22"/>
          <w:szCs w:val="22"/>
        </w:rPr>
        <w:t>–</w:t>
      </w:r>
      <w:r w:rsidR="00AC6666" w:rsidRPr="00AC6666">
        <w:rPr>
          <w:rFonts w:ascii="Century Gothic" w:hAnsi="Century Gothic"/>
          <w:sz w:val="22"/>
          <w:szCs w:val="22"/>
        </w:rPr>
        <w:t xml:space="preserve"> Servizi</w:t>
      </w:r>
      <w:r w:rsidR="00B938B2">
        <w:rPr>
          <w:rFonts w:ascii="Century Gothic" w:hAnsi="Century Gothic"/>
          <w:sz w:val="22"/>
          <w:szCs w:val="22"/>
        </w:rPr>
        <w:t xml:space="preserve"> di progettazione tecnica di impianti;</w:t>
      </w:r>
    </w:p>
    <w:p w14:paraId="066DD95D" w14:textId="3F3888BF" w:rsidR="00712584" w:rsidRPr="00712584" w:rsidRDefault="001D180C" w:rsidP="007D5335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 w:rsidRPr="00712584">
        <w:rPr>
          <w:rFonts w:ascii="Century Gothic" w:hAnsi="Century Gothic" w:cstheme="majorHAnsi"/>
          <w:sz w:val="22"/>
        </w:rPr>
        <w:t xml:space="preserve">contraente: </w:t>
      </w:r>
      <w:r w:rsidR="00B938B2" w:rsidRPr="00712584">
        <w:rPr>
          <w:rFonts w:ascii="Century Gothic" w:hAnsi="Century Gothic" w:cstheme="majorHAnsi"/>
          <w:sz w:val="22"/>
          <w:szCs w:val="22"/>
        </w:rPr>
        <w:t xml:space="preserve">Ing. </w:t>
      </w:r>
      <w:proofErr w:type="spellStart"/>
      <w:r w:rsidR="00B938B2" w:rsidRPr="00712584">
        <w:rPr>
          <w:rFonts w:ascii="Century Gothic" w:hAnsi="Century Gothic" w:cstheme="majorHAnsi"/>
          <w:sz w:val="22"/>
          <w:szCs w:val="22"/>
        </w:rPr>
        <w:t>Bianzani</w:t>
      </w:r>
      <w:proofErr w:type="spellEnd"/>
      <w:r w:rsidR="00B938B2" w:rsidRPr="00712584">
        <w:rPr>
          <w:rFonts w:ascii="Century Gothic" w:hAnsi="Century Gothic" w:cstheme="majorHAnsi"/>
          <w:sz w:val="22"/>
          <w:szCs w:val="22"/>
        </w:rPr>
        <w:t xml:space="preserve"> Nicola </w:t>
      </w:r>
      <w:r w:rsidR="00AC6666" w:rsidRPr="00712584">
        <w:rPr>
          <w:rFonts w:ascii="Century Gothic" w:eastAsia="Calibri" w:hAnsi="Century Gothic" w:cs="Calibri Light"/>
          <w:sz w:val="22"/>
          <w:szCs w:val="22"/>
        </w:rPr>
        <w:t xml:space="preserve">con sede legale in </w:t>
      </w:r>
      <w:r w:rsidR="00AC6666" w:rsidRPr="00712584">
        <w:rPr>
          <w:rFonts w:ascii="Century Gothic" w:hAnsi="Century Gothic"/>
          <w:sz w:val="22"/>
          <w:szCs w:val="22"/>
          <w:shd w:val="clear" w:color="auto" w:fill="FFFFFF"/>
        </w:rPr>
        <w:t xml:space="preserve">Via </w:t>
      </w:r>
      <w:r w:rsidR="00B938B2" w:rsidRPr="00712584">
        <w:rPr>
          <w:rFonts w:ascii="Century Gothic" w:hAnsi="Century Gothic"/>
          <w:sz w:val="22"/>
          <w:szCs w:val="22"/>
          <w:shd w:val="clear" w:color="auto" w:fill="FFFFFF"/>
        </w:rPr>
        <w:t>Francesco Baracca n. 4</w:t>
      </w:r>
      <w:r w:rsidR="00AC6666" w:rsidRPr="00712584">
        <w:rPr>
          <w:rFonts w:ascii="Century Gothic" w:hAnsi="Century Gothic"/>
          <w:sz w:val="22"/>
          <w:szCs w:val="22"/>
          <w:shd w:val="clear" w:color="auto" w:fill="FFFFFF"/>
        </w:rPr>
        <w:t xml:space="preserve">, </w:t>
      </w:r>
      <w:r w:rsidR="00B938B2" w:rsidRPr="00712584">
        <w:rPr>
          <w:rFonts w:ascii="Century Gothic" w:hAnsi="Century Gothic"/>
          <w:sz w:val="22"/>
          <w:szCs w:val="22"/>
          <w:shd w:val="clear" w:color="auto" w:fill="FFFFFF"/>
        </w:rPr>
        <w:t>Brescia</w:t>
      </w:r>
      <w:r w:rsidR="00AC6666" w:rsidRPr="00712584">
        <w:rPr>
          <w:rFonts w:ascii="Century Gothic" w:hAnsi="Century Gothic"/>
          <w:sz w:val="22"/>
          <w:szCs w:val="22"/>
          <w:shd w:val="clear" w:color="auto" w:fill="FFFFFF"/>
        </w:rPr>
        <w:t xml:space="preserve"> (BS), 25</w:t>
      </w:r>
      <w:r w:rsidR="00B938B2" w:rsidRPr="00712584">
        <w:rPr>
          <w:rFonts w:ascii="Century Gothic" w:hAnsi="Century Gothic"/>
          <w:sz w:val="22"/>
          <w:szCs w:val="22"/>
          <w:shd w:val="clear" w:color="auto" w:fill="FFFFFF"/>
        </w:rPr>
        <w:t>128</w:t>
      </w:r>
      <w:r w:rsidR="00AC6666" w:rsidRPr="00712584">
        <w:rPr>
          <w:rFonts w:ascii="Century Gothic" w:eastAsia="Calibri" w:hAnsi="Century Gothic" w:cs="Calibri Light"/>
          <w:sz w:val="22"/>
          <w:szCs w:val="22"/>
        </w:rPr>
        <w:t xml:space="preserve">, codice fiscale </w:t>
      </w:r>
      <w:r w:rsidR="00B938B2" w:rsidRPr="00712584">
        <w:rPr>
          <w:rFonts w:ascii="Century Gothic" w:hAnsi="Century Gothic"/>
          <w:sz w:val="22"/>
          <w:szCs w:val="22"/>
          <w:shd w:val="clear" w:color="auto" w:fill="FFFFFF"/>
        </w:rPr>
        <w:t>BNZNCL78A02B157P</w:t>
      </w:r>
      <w:r w:rsidR="00AC6666" w:rsidRPr="00712584">
        <w:rPr>
          <w:rFonts w:ascii="Century Gothic" w:eastAsia="Calibri" w:hAnsi="Century Gothic" w:cs="Calibri Light"/>
          <w:sz w:val="22"/>
          <w:szCs w:val="22"/>
        </w:rPr>
        <w:t xml:space="preserve"> e partita I.V.A. </w:t>
      </w:r>
      <w:r w:rsidR="00AC6666" w:rsidRPr="00712584">
        <w:rPr>
          <w:rFonts w:ascii="Century Gothic" w:hAnsi="Century Gothic"/>
          <w:sz w:val="22"/>
          <w:szCs w:val="22"/>
          <w:shd w:val="clear" w:color="auto" w:fill="FFFFFF"/>
        </w:rPr>
        <w:t>0</w:t>
      </w:r>
      <w:r w:rsidR="00B938B2" w:rsidRPr="00712584">
        <w:rPr>
          <w:rFonts w:ascii="Century Gothic" w:hAnsi="Century Gothic"/>
          <w:sz w:val="22"/>
          <w:szCs w:val="22"/>
          <w:shd w:val="clear" w:color="auto" w:fill="FFFFFF"/>
        </w:rPr>
        <w:t>2957190982</w:t>
      </w:r>
      <w:r w:rsidR="00AC6666" w:rsidRPr="00712584">
        <w:rPr>
          <w:rFonts w:ascii="Century Gothic" w:hAnsi="Century Gothic" w:cstheme="majorHAnsi"/>
          <w:sz w:val="22"/>
          <w:szCs w:val="22"/>
        </w:rPr>
        <w:t>, iscritto all’</w:t>
      </w:r>
      <w:r w:rsidR="00B938B2" w:rsidRPr="00712584">
        <w:rPr>
          <w:rFonts w:ascii="Century Gothic" w:hAnsi="Century Gothic" w:cstheme="majorHAnsi"/>
          <w:sz w:val="22"/>
          <w:szCs w:val="22"/>
        </w:rPr>
        <w:t>Ordine degli Ingegneri del</w:t>
      </w:r>
      <w:r w:rsidR="00AC6666" w:rsidRPr="00712584">
        <w:rPr>
          <w:rFonts w:ascii="Century Gothic" w:hAnsi="Century Gothic" w:cstheme="majorHAnsi"/>
          <w:sz w:val="22"/>
          <w:szCs w:val="22"/>
        </w:rPr>
        <w:t xml:space="preserve">la provincia di Brescia al n. </w:t>
      </w:r>
      <w:r w:rsidR="00712584" w:rsidRPr="00C971E3">
        <w:rPr>
          <w:rFonts w:ascii="Century Gothic" w:hAnsi="Century Gothic" w:cstheme="majorHAnsi"/>
          <w:sz w:val="22"/>
          <w:szCs w:val="22"/>
        </w:rPr>
        <w:t>4</w:t>
      </w:r>
      <w:r w:rsidR="00712584">
        <w:rPr>
          <w:rFonts w:ascii="Century Gothic" w:hAnsi="Century Gothic" w:cstheme="majorHAnsi"/>
          <w:sz w:val="22"/>
          <w:szCs w:val="22"/>
        </w:rPr>
        <w:t>202;</w:t>
      </w:r>
    </w:p>
    <w:p w14:paraId="5FF91D9E" w14:textId="76E2D78F" w:rsidR="001D180C" w:rsidRPr="00712584" w:rsidRDefault="001D180C" w:rsidP="007D5335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 w:rsidRPr="00712584">
        <w:rPr>
          <w:rFonts w:ascii="Century Gothic" w:hAnsi="Century Gothic" w:cstheme="majorHAnsi"/>
          <w:sz w:val="22"/>
        </w:rPr>
        <w:t>metodologia di affidamento: affidamento diretto</w:t>
      </w:r>
      <w:r w:rsidR="00712584">
        <w:rPr>
          <w:rFonts w:ascii="Century Gothic" w:hAnsi="Century Gothic" w:cstheme="majorHAnsi"/>
          <w:sz w:val="22"/>
        </w:rPr>
        <w:t>;</w:t>
      </w:r>
    </w:p>
    <w:p w14:paraId="72F22BA9" w14:textId="52859097" w:rsidR="001D180C" w:rsidRPr="00EC139C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 w:rsidRPr="00EC139C">
        <w:rPr>
          <w:rFonts w:ascii="Century Gothic" w:hAnsi="Century Gothic" w:cstheme="majorHAnsi"/>
          <w:sz w:val="22"/>
        </w:rPr>
        <w:t xml:space="preserve">forma del contratto: Sottoscrizione di </w:t>
      </w:r>
      <w:r w:rsidR="00712584">
        <w:rPr>
          <w:rFonts w:ascii="Century Gothic" w:hAnsi="Century Gothic" w:cstheme="majorHAnsi"/>
          <w:sz w:val="22"/>
        </w:rPr>
        <w:t>scrittura privata;</w:t>
      </w:r>
    </w:p>
    <w:p w14:paraId="4F81D680" w14:textId="6908C646" w:rsidR="001D180C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>CCNL: non applicabile</w:t>
      </w:r>
      <w:r w:rsidR="00712584">
        <w:rPr>
          <w:rFonts w:ascii="Century Gothic" w:hAnsi="Century Gothic" w:cstheme="majorHAnsi"/>
          <w:sz w:val="22"/>
        </w:rPr>
        <w:t>;</w:t>
      </w:r>
    </w:p>
    <w:p w14:paraId="430EB9C0" w14:textId="10AB47F8" w:rsidR="001D180C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>Ragione della scelta: competenza in materia</w:t>
      </w:r>
      <w:r w:rsidR="00712584">
        <w:rPr>
          <w:rFonts w:ascii="Century Gothic" w:hAnsi="Century Gothic" w:cstheme="majorHAnsi"/>
          <w:sz w:val="22"/>
        </w:rPr>
        <w:t>;</w:t>
      </w:r>
    </w:p>
    <w:p w14:paraId="26F8DF02" w14:textId="77777777" w:rsidR="001D180C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>Requisiti di carattere generale: forniti con dichiarazione sostitutiva di atto notorio ai sensi del D.P.R. 445/2000;</w:t>
      </w:r>
    </w:p>
    <w:p w14:paraId="3490048D" w14:textId="75810B6B" w:rsidR="001D180C" w:rsidRPr="002937EA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 xml:space="preserve">Capacità economico-finanziaria: </w:t>
      </w:r>
      <w:r w:rsidR="00F603BE">
        <w:rPr>
          <w:rFonts w:ascii="Century Gothic" w:hAnsi="Century Gothic" w:cstheme="majorHAnsi"/>
          <w:sz w:val="22"/>
        </w:rPr>
        <w:t>forniti con dichiarazione sostitutiva di atto notorio ai sensi del D.P.R. 445/2000</w:t>
      </w:r>
      <w:r w:rsidRPr="002937EA">
        <w:rPr>
          <w:rFonts w:ascii="Century Gothic" w:hAnsi="Century Gothic" w:cstheme="majorHAnsi"/>
          <w:sz w:val="22"/>
        </w:rPr>
        <w:t>;</w:t>
      </w:r>
    </w:p>
    <w:p w14:paraId="140B713D" w14:textId="7D57ACB2" w:rsidR="001D180C" w:rsidRDefault="001D180C" w:rsidP="001D180C">
      <w:pPr>
        <w:pStyle w:val="Paragrafoelenco"/>
        <w:widowControl/>
        <w:numPr>
          <w:ilvl w:val="0"/>
          <w:numId w:val="12"/>
        </w:numPr>
        <w:overflowPunct w:val="0"/>
        <w:autoSpaceDE w:val="0"/>
        <w:autoSpaceDN w:val="0"/>
        <w:adjustRightInd w:val="0"/>
        <w:spacing w:after="152" w:line="276" w:lineRule="auto"/>
        <w:ind w:right="146"/>
        <w:jc w:val="both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 xml:space="preserve">Capacità tecnico-professionali: </w:t>
      </w:r>
      <w:r w:rsidR="00F603BE">
        <w:rPr>
          <w:rFonts w:ascii="Century Gothic" w:hAnsi="Century Gothic" w:cstheme="majorHAnsi"/>
          <w:sz w:val="22"/>
        </w:rPr>
        <w:t>forniti con dichiarazione sostitutiva di atto notorio ai sensi del D.P.R. 445/2000</w:t>
      </w:r>
      <w:r>
        <w:rPr>
          <w:rFonts w:ascii="Century Gothic" w:hAnsi="Century Gothic" w:cstheme="majorHAnsi"/>
          <w:sz w:val="22"/>
        </w:rPr>
        <w:t>;</w:t>
      </w:r>
    </w:p>
    <w:p w14:paraId="1603E6BD" w14:textId="77777777" w:rsidR="001D180C" w:rsidRDefault="001D180C" w:rsidP="001D180C">
      <w:pPr>
        <w:pStyle w:val="Paragrafoelenco"/>
        <w:overflowPunct w:val="0"/>
        <w:autoSpaceDE w:val="0"/>
        <w:autoSpaceDN w:val="0"/>
        <w:adjustRightInd w:val="0"/>
        <w:spacing w:line="276" w:lineRule="auto"/>
        <w:ind w:left="1134" w:right="147" w:hanging="567"/>
        <w:jc w:val="both"/>
        <w:textAlignment w:val="baseline"/>
        <w:rPr>
          <w:rFonts w:ascii="Century Gothic" w:hAnsi="Century Gothic"/>
          <w:sz w:val="22"/>
          <w:szCs w:val="22"/>
        </w:rPr>
      </w:pPr>
    </w:p>
    <w:p w14:paraId="20172AF2" w14:textId="27686AB0" w:rsidR="0043430C" w:rsidRPr="00AC6666" w:rsidRDefault="0043430C" w:rsidP="005B0DBC">
      <w:pPr>
        <w:widowControl/>
        <w:numPr>
          <w:ilvl w:val="0"/>
          <w:numId w:val="9"/>
        </w:numPr>
        <w:snapToGrid w:val="0"/>
        <w:spacing w:after="120" w:line="276" w:lineRule="auto"/>
        <w:ind w:left="567" w:hanging="567"/>
        <w:contextualSpacing/>
        <w:jc w:val="both"/>
        <w:rPr>
          <w:rFonts w:ascii="Century Gothic" w:hAnsi="Century Gothic" w:cs="Garamond"/>
          <w:sz w:val="22"/>
          <w:szCs w:val="22"/>
        </w:rPr>
      </w:pPr>
      <w:r w:rsidRPr="00800E13">
        <w:rPr>
          <w:rFonts w:ascii="Century Gothic" w:hAnsi="Century Gothic" w:cs="Arial"/>
          <w:sz w:val="22"/>
          <w:szCs w:val="22"/>
        </w:rPr>
        <w:t xml:space="preserve">DI ACCERTARE che il programma dei pagamenti conseguente all’assunzione degli impegni di spesa del presente provvedimento pari a </w:t>
      </w:r>
      <w:r w:rsidRPr="00800E13">
        <w:rPr>
          <w:rFonts w:ascii="Century Gothic" w:hAnsi="Century Gothic"/>
          <w:b/>
          <w:sz w:val="22"/>
          <w:szCs w:val="22"/>
        </w:rPr>
        <w:t xml:space="preserve">€ </w:t>
      </w:r>
      <w:r w:rsidR="00E00E13" w:rsidRPr="00800E13">
        <w:rPr>
          <w:rFonts w:ascii="Century Gothic" w:hAnsi="Century Gothic"/>
          <w:b/>
          <w:sz w:val="22"/>
          <w:szCs w:val="22"/>
        </w:rPr>
        <w:t>1</w:t>
      </w:r>
      <w:r w:rsidR="000B54F7">
        <w:rPr>
          <w:rFonts w:ascii="Century Gothic" w:hAnsi="Century Gothic"/>
          <w:b/>
          <w:sz w:val="22"/>
          <w:szCs w:val="22"/>
        </w:rPr>
        <w:t>67</w:t>
      </w:r>
      <w:r w:rsidR="00E00E13" w:rsidRPr="00800E13">
        <w:rPr>
          <w:rFonts w:ascii="Century Gothic" w:hAnsi="Century Gothic"/>
          <w:b/>
          <w:sz w:val="22"/>
          <w:szCs w:val="22"/>
        </w:rPr>
        <w:t>.</w:t>
      </w:r>
      <w:r w:rsidR="000B54F7">
        <w:rPr>
          <w:rFonts w:ascii="Century Gothic" w:hAnsi="Century Gothic"/>
          <w:b/>
          <w:sz w:val="22"/>
          <w:szCs w:val="22"/>
        </w:rPr>
        <w:t>545</w:t>
      </w:r>
      <w:r w:rsidR="002A3F01" w:rsidRPr="00800E13">
        <w:rPr>
          <w:rFonts w:ascii="Century Gothic" w:hAnsi="Century Gothic"/>
          <w:b/>
          <w:sz w:val="22"/>
          <w:szCs w:val="22"/>
        </w:rPr>
        <w:t>,</w:t>
      </w:r>
      <w:r w:rsidR="00E00E13" w:rsidRPr="00800E13">
        <w:rPr>
          <w:rFonts w:ascii="Century Gothic" w:hAnsi="Century Gothic"/>
          <w:b/>
          <w:sz w:val="22"/>
          <w:szCs w:val="22"/>
        </w:rPr>
        <w:t>0</w:t>
      </w:r>
      <w:r w:rsidR="000B54F7">
        <w:rPr>
          <w:rFonts w:ascii="Century Gothic" w:hAnsi="Century Gothic"/>
          <w:b/>
          <w:sz w:val="22"/>
          <w:szCs w:val="22"/>
        </w:rPr>
        <w:t>4</w:t>
      </w:r>
      <w:r w:rsidR="002A3F01" w:rsidRPr="00800E13">
        <w:rPr>
          <w:rFonts w:ascii="Century Gothic" w:hAnsi="Century Gothic"/>
          <w:b/>
          <w:sz w:val="22"/>
          <w:szCs w:val="22"/>
        </w:rPr>
        <w:t xml:space="preserve"> </w:t>
      </w:r>
      <w:r w:rsidRPr="00800E13">
        <w:rPr>
          <w:rFonts w:ascii="Century Gothic" w:hAnsi="Century Gothic" w:cs="Arial"/>
          <w:sz w:val="22"/>
          <w:szCs w:val="22"/>
        </w:rPr>
        <w:t xml:space="preserve">è compatibile con i relativi stanziamenti di bilancio e con i flussi di cassa della Società, specificando che la spesa sarà suddivisa </w:t>
      </w:r>
      <w:r w:rsidR="00800E13" w:rsidRPr="00800E13">
        <w:rPr>
          <w:rFonts w:ascii="Century Gothic" w:hAnsi="Century Gothic" w:cs="Arial"/>
          <w:sz w:val="22"/>
          <w:szCs w:val="22"/>
        </w:rPr>
        <w:t>in funzione degli Ordinativi di prestazione che verranno comunicati in funzione delle esigenze della Società</w:t>
      </w:r>
      <w:r w:rsidR="000B54F7">
        <w:rPr>
          <w:rFonts w:ascii="Century Gothic" w:hAnsi="Century Gothic" w:cs="Arial"/>
          <w:sz w:val="22"/>
          <w:szCs w:val="22"/>
        </w:rPr>
        <w:t>;</w:t>
      </w:r>
    </w:p>
    <w:p w14:paraId="4E6B1B23" w14:textId="77777777" w:rsidR="00AC6666" w:rsidRPr="00800E13" w:rsidRDefault="00AC6666" w:rsidP="00AC6666">
      <w:pPr>
        <w:widowControl/>
        <w:snapToGrid w:val="0"/>
        <w:spacing w:after="120" w:line="276" w:lineRule="auto"/>
        <w:contextualSpacing/>
        <w:jc w:val="both"/>
        <w:rPr>
          <w:rFonts w:ascii="Century Gothic" w:hAnsi="Century Gothic" w:cs="Garamond"/>
          <w:sz w:val="22"/>
          <w:szCs w:val="22"/>
        </w:rPr>
      </w:pPr>
    </w:p>
    <w:p w14:paraId="67C3EDFA" w14:textId="6E95850C" w:rsidR="00800E13" w:rsidRDefault="00AC6666" w:rsidP="00AC6666">
      <w:pPr>
        <w:widowControl/>
        <w:numPr>
          <w:ilvl w:val="0"/>
          <w:numId w:val="9"/>
        </w:numPr>
        <w:snapToGrid w:val="0"/>
        <w:spacing w:after="120" w:line="276" w:lineRule="auto"/>
        <w:ind w:left="567" w:hanging="567"/>
        <w:contextualSpacing/>
        <w:jc w:val="both"/>
        <w:rPr>
          <w:rFonts w:ascii="Century Gothic" w:hAnsi="Century Gothic" w:cs="Garamond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DI PROCEDERE alla sottoscrizione del contratto di incarico per un importo </w:t>
      </w:r>
      <w:r>
        <w:rPr>
          <w:rFonts w:ascii="Century Gothic" w:hAnsi="Century Gothic"/>
          <w:sz w:val="22"/>
          <w:szCs w:val="22"/>
        </w:rPr>
        <w:t>totale pari a € 13</w:t>
      </w:r>
      <w:r w:rsidR="000B54F7">
        <w:rPr>
          <w:rFonts w:ascii="Century Gothic" w:hAnsi="Century Gothic"/>
          <w:sz w:val="22"/>
          <w:szCs w:val="22"/>
        </w:rPr>
        <w:t>2</w:t>
      </w:r>
      <w:r>
        <w:rPr>
          <w:rFonts w:ascii="Century Gothic" w:hAnsi="Century Gothic"/>
          <w:sz w:val="22"/>
          <w:szCs w:val="22"/>
        </w:rPr>
        <w:t>.0</w:t>
      </w:r>
      <w:r w:rsidR="000B54F7">
        <w:rPr>
          <w:rFonts w:ascii="Century Gothic" w:hAnsi="Century Gothic"/>
          <w:sz w:val="22"/>
          <w:szCs w:val="22"/>
        </w:rPr>
        <w:t>5</w:t>
      </w:r>
      <w:r>
        <w:rPr>
          <w:rFonts w:ascii="Century Gothic" w:hAnsi="Century Gothic"/>
          <w:sz w:val="22"/>
          <w:szCs w:val="22"/>
        </w:rPr>
        <w:t>0,00 al netto di cassa assistenza e I.V.A, se dovuta</w:t>
      </w:r>
      <w:r>
        <w:rPr>
          <w:rFonts w:ascii="Century Gothic" w:hAnsi="Century Gothic"/>
          <w:b/>
          <w:sz w:val="22"/>
          <w:szCs w:val="22"/>
        </w:rPr>
        <w:t xml:space="preserve">, </w:t>
      </w:r>
      <w:r>
        <w:rPr>
          <w:rFonts w:ascii="Century Gothic" w:hAnsi="Century Gothic" w:cs="Arial"/>
          <w:sz w:val="22"/>
          <w:szCs w:val="22"/>
        </w:rPr>
        <w:t>dando atto che Il suddetto importo non costituisce impegno per la società, che quantificherà le proprie esigenze mediante Ordinativi di Prestazione senza obbligo di un minimo di ordinativo</w:t>
      </w:r>
      <w:r w:rsidR="000B54F7">
        <w:rPr>
          <w:rFonts w:ascii="Century Gothic" w:hAnsi="Century Gothic" w:cs="Arial"/>
          <w:sz w:val="22"/>
          <w:szCs w:val="22"/>
        </w:rPr>
        <w:t>;</w:t>
      </w:r>
    </w:p>
    <w:p w14:paraId="2BACDBD8" w14:textId="77777777" w:rsidR="00664DF2" w:rsidRDefault="00664DF2" w:rsidP="00664DF2">
      <w:pPr>
        <w:widowControl/>
        <w:spacing w:line="276" w:lineRule="auto"/>
        <w:ind w:left="567"/>
        <w:contextualSpacing/>
        <w:jc w:val="both"/>
        <w:rPr>
          <w:rFonts w:ascii="Century Gothic" w:hAnsi="Century Gothic" w:cs="Arial"/>
          <w:sz w:val="22"/>
          <w:szCs w:val="22"/>
        </w:rPr>
      </w:pPr>
    </w:p>
    <w:p w14:paraId="4191D076" w14:textId="0BDCAB86" w:rsidR="001D180C" w:rsidRDefault="001D180C" w:rsidP="001D180C">
      <w:pPr>
        <w:widowControl/>
        <w:numPr>
          <w:ilvl w:val="0"/>
          <w:numId w:val="9"/>
        </w:numPr>
        <w:spacing w:line="276" w:lineRule="auto"/>
        <w:ind w:left="567" w:hanging="567"/>
        <w:contextualSpacing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DI COMUNICARE al </w:t>
      </w:r>
      <w:proofErr w:type="gramStart"/>
      <w:r>
        <w:rPr>
          <w:rFonts w:ascii="Century Gothic" w:hAnsi="Century Gothic" w:cs="Arial"/>
          <w:sz w:val="22"/>
          <w:szCs w:val="22"/>
        </w:rPr>
        <w:t>summenzionato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operatore economico, ai sensi del DM n. 55 del 3 aprile 2013, i dati obbligatori da inserire nelle fatture relative ai pagamenti in acconto e di saldo:</w:t>
      </w:r>
    </w:p>
    <w:p w14:paraId="11F71B1B" w14:textId="7ACD45E7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993" w:hanging="426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Fatturazione = elettronica da trasmettere tramite Sistema di Interscambio</w:t>
      </w:r>
      <w:r w:rsidR="0036111C">
        <w:rPr>
          <w:rFonts w:ascii="Century Gothic" w:hAnsi="Century Gothic" w:cstheme="majorHAnsi"/>
          <w:sz w:val="22"/>
          <w:szCs w:val="22"/>
        </w:rPr>
        <w:t>;</w:t>
      </w:r>
    </w:p>
    <w:p w14:paraId="4FD7A549" w14:textId="2FFFAD2C" w:rsidR="001D180C" w:rsidRPr="00F37C3B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993" w:hanging="426"/>
        <w:contextualSpacing/>
        <w:jc w:val="both"/>
        <w:rPr>
          <w:rFonts w:ascii="Century Gothic" w:hAnsi="Century Gothic" w:cstheme="majorHAnsi"/>
          <w:sz w:val="22"/>
          <w:szCs w:val="22"/>
          <w:lang w:val="en-GB"/>
        </w:rPr>
      </w:pPr>
      <w:proofErr w:type="spellStart"/>
      <w:r w:rsidRPr="00F37C3B">
        <w:rPr>
          <w:rFonts w:ascii="Century Gothic" w:hAnsi="Century Gothic" w:cstheme="majorHAnsi"/>
          <w:sz w:val="22"/>
          <w:szCs w:val="22"/>
          <w:lang w:val="en-GB"/>
        </w:rPr>
        <w:t>Gestione</w:t>
      </w:r>
      <w:proofErr w:type="spellEnd"/>
      <w:r w:rsidRPr="00F37C3B">
        <w:rPr>
          <w:rFonts w:ascii="Century Gothic" w:hAnsi="Century Gothic" w:cstheme="majorHAnsi"/>
          <w:sz w:val="22"/>
          <w:szCs w:val="22"/>
          <w:lang w:val="en-GB"/>
        </w:rPr>
        <w:t xml:space="preserve"> I.V.A. = Split </w:t>
      </w:r>
      <w:proofErr w:type="gramStart"/>
      <w:r w:rsidRPr="00F37C3B">
        <w:rPr>
          <w:rFonts w:ascii="Century Gothic" w:hAnsi="Century Gothic" w:cstheme="majorHAnsi"/>
          <w:sz w:val="22"/>
          <w:szCs w:val="22"/>
          <w:lang w:val="en-GB"/>
        </w:rPr>
        <w:t>Payment</w:t>
      </w:r>
      <w:r w:rsidR="0036111C">
        <w:rPr>
          <w:rFonts w:ascii="Century Gothic" w:hAnsi="Century Gothic" w:cstheme="majorHAnsi"/>
          <w:sz w:val="22"/>
          <w:szCs w:val="22"/>
          <w:lang w:val="en-GB"/>
        </w:rPr>
        <w:t>;</w:t>
      </w:r>
      <w:proofErr w:type="gramEnd"/>
    </w:p>
    <w:p w14:paraId="1EECD07E" w14:textId="77777777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993" w:hanging="426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Codice Univoco Ufficio = USAL8PV;</w:t>
      </w:r>
    </w:p>
    <w:p w14:paraId="7E07259F" w14:textId="5C6CDAEE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993" w:hanging="426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Riferimenti CIG = </w:t>
      </w:r>
      <w:r w:rsidR="0036111C" w:rsidRPr="0036111C">
        <w:rPr>
          <w:rFonts w:ascii="Century Gothic" w:hAnsi="Century Gothic" w:cstheme="majorHAnsi"/>
          <w:sz w:val="22"/>
          <w:szCs w:val="22"/>
        </w:rPr>
        <w:t>presente nell’oggetto del presente atto</w:t>
      </w:r>
      <w:r>
        <w:rPr>
          <w:rFonts w:ascii="Century Gothic" w:hAnsi="Century Gothic" w:cstheme="majorHAnsi"/>
          <w:sz w:val="22"/>
          <w:szCs w:val="22"/>
        </w:rPr>
        <w:t>;</w:t>
      </w:r>
    </w:p>
    <w:p w14:paraId="733B3946" w14:textId="77777777" w:rsidR="001D180C" w:rsidRDefault="001D180C" w:rsidP="001D180C">
      <w:pPr>
        <w:numPr>
          <w:ilvl w:val="0"/>
          <w:numId w:val="12"/>
        </w:numPr>
        <w:autoSpaceDE w:val="0"/>
        <w:autoSpaceDN w:val="0"/>
        <w:spacing w:line="276" w:lineRule="auto"/>
        <w:ind w:left="993" w:hanging="426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Decisione di affidamento: estremi della presente Determinazione di aggiudicazione;</w:t>
      </w:r>
    </w:p>
    <w:p w14:paraId="42111DA7" w14:textId="77777777" w:rsidR="001D180C" w:rsidRDefault="001D180C" w:rsidP="001D180C">
      <w:pPr>
        <w:autoSpaceDE w:val="0"/>
        <w:autoSpaceDN w:val="0"/>
        <w:spacing w:line="276" w:lineRule="auto"/>
        <w:ind w:left="851"/>
        <w:contextualSpacing/>
        <w:jc w:val="both"/>
        <w:rPr>
          <w:rFonts w:ascii="Century Gothic" w:hAnsi="Century Gothic" w:cstheme="majorHAnsi"/>
          <w:szCs w:val="24"/>
        </w:rPr>
      </w:pPr>
    </w:p>
    <w:p w14:paraId="3B93F68E" w14:textId="3DF21BDA" w:rsidR="001D180C" w:rsidRPr="0036111C" w:rsidRDefault="001D180C" w:rsidP="001D180C">
      <w:pPr>
        <w:numPr>
          <w:ilvl w:val="0"/>
          <w:numId w:val="9"/>
        </w:numPr>
        <w:spacing w:after="120" w:line="276" w:lineRule="auto"/>
        <w:ind w:left="567" w:hanging="567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DI DARE MANDATO all’ufficio segreteria di dare informazione dell’adozione del </w:t>
      </w:r>
      <w:r>
        <w:rPr>
          <w:rFonts w:ascii="Century Gothic" w:hAnsi="Century Gothic" w:cs="Arial"/>
          <w:sz w:val="22"/>
          <w:szCs w:val="22"/>
        </w:rPr>
        <w:lastRenderedPageBreak/>
        <w:t>presente atto al C.d.A. della Società nella prima seduta utile o al più tardi entro 20 giorni.</w:t>
      </w:r>
    </w:p>
    <w:p w14:paraId="366679E2" w14:textId="77777777" w:rsidR="001D180C" w:rsidRDefault="001D180C" w:rsidP="001D180C">
      <w:pPr>
        <w:spacing w:line="276" w:lineRule="auto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Il presente provvedimento, redatto in un unico originale sarà:</w:t>
      </w:r>
    </w:p>
    <w:p w14:paraId="145E93D8" w14:textId="77777777" w:rsidR="001D180C" w:rsidRDefault="001D180C" w:rsidP="001D180C">
      <w:pPr>
        <w:numPr>
          <w:ilvl w:val="0"/>
          <w:numId w:val="14"/>
        </w:numPr>
        <w:autoSpaceDE w:val="0"/>
        <w:autoSpaceDN w:val="0"/>
        <w:spacing w:line="276" w:lineRule="auto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acquisito agli atti dell’Ufficio Amministrativo per la raccolta, la pubblicazione e la notifica agli Uffici competenti per i successivi incombenti;</w:t>
      </w:r>
    </w:p>
    <w:p w14:paraId="0B5A768D" w14:textId="77777777" w:rsidR="001D180C" w:rsidRDefault="001D180C" w:rsidP="001D180C">
      <w:pPr>
        <w:numPr>
          <w:ilvl w:val="0"/>
          <w:numId w:val="14"/>
        </w:numPr>
        <w:autoSpaceDE w:val="0"/>
        <w:autoSpaceDN w:val="0"/>
        <w:spacing w:line="276" w:lineRule="auto"/>
        <w:contextualSpacing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qualora previsto dalla normativa in materia, pubblicato nella sezione “Amministrazione Trasparente” del sito della Società </w:t>
      </w:r>
      <w:proofErr w:type="spellStart"/>
      <w:r>
        <w:rPr>
          <w:rFonts w:ascii="Century Gothic" w:hAnsi="Century Gothic" w:cstheme="majorHAnsi"/>
          <w:sz w:val="22"/>
          <w:szCs w:val="22"/>
        </w:rPr>
        <w:t>Se.Va.T</w:t>
      </w:r>
      <w:proofErr w:type="spellEnd"/>
      <w:r>
        <w:rPr>
          <w:rFonts w:ascii="Century Gothic" w:hAnsi="Century Gothic" w:cstheme="majorHAnsi"/>
          <w:sz w:val="22"/>
          <w:szCs w:val="22"/>
        </w:rPr>
        <w:t xml:space="preserve">. Servizi Valle Trompia S.c.r.l. nei termini di legge, salve le garanzie previste dalla legge n. 241/1990 e dal </w:t>
      </w:r>
      <w:proofErr w:type="spellStart"/>
      <w:r>
        <w:rPr>
          <w:rFonts w:ascii="Century Gothic" w:hAnsi="Century Gothic" w:cstheme="majorHAnsi"/>
          <w:sz w:val="22"/>
          <w:szCs w:val="22"/>
        </w:rPr>
        <w:t>D.Lgs.</w:t>
      </w:r>
      <w:proofErr w:type="spellEnd"/>
      <w:r>
        <w:rPr>
          <w:rFonts w:ascii="Century Gothic" w:hAnsi="Century Gothic" w:cstheme="majorHAnsi"/>
          <w:sz w:val="22"/>
          <w:szCs w:val="22"/>
        </w:rPr>
        <w:t xml:space="preserve"> n. 33/2013, nel rispetto della riservatezza dei cittadini secondo quanto disposto dal Regolamento UE n. 2016/697 in materia di protezione dei dati personali, nonché dal </w:t>
      </w:r>
      <w:proofErr w:type="spellStart"/>
      <w:r>
        <w:rPr>
          <w:rFonts w:ascii="Century Gothic" w:hAnsi="Century Gothic" w:cstheme="majorHAnsi"/>
          <w:sz w:val="22"/>
          <w:szCs w:val="22"/>
        </w:rPr>
        <w:t>D.Lgs.</w:t>
      </w:r>
      <w:proofErr w:type="spellEnd"/>
      <w:r>
        <w:rPr>
          <w:rFonts w:ascii="Century Gothic" w:hAnsi="Century Gothic" w:cstheme="majorHAnsi"/>
          <w:sz w:val="22"/>
          <w:szCs w:val="22"/>
        </w:rPr>
        <w:t xml:space="preserve"> 196/2003 e dal D. Lgs. n. 101/2018 </w:t>
      </w:r>
      <w:proofErr w:type="spellStart"/>
      <w:r>
        <w:rPr>
          <w:rFonts w:ascii="Century Gothic" w:hAnsi="Century Gothic" w:cstheme="majorHAnsi"/>
          <w:sz w:val="22"/>
          <w:szCs w:val="22"/>
        </w:rPr>
        <w:t>s.m.i.</w:t>
      </w:r>
      <w:proofErr w:type="spellEnd"/>
    </w:p>
    <w:p w14:paraId="2882B1BA" w14:textId="77777777" w:rsidR="001D180C" w:rsidRDefault="001D180C" w:rsidP="001D180C">
      <w:pPr>
        <w:autoSpaceDE w:val="0"/>
        <w:autoSpaceDN w:val="0"/>
        <w:spacing w:line="276" w:lineRule="auto"/>
        <w:jc w:val="both"/>
        <w:rPr>
          <w:rFonts w:ascii="Century Gothic" w:hAnsi="Century Gothic" w:cstheme="majorHAnsi"/>
          <w:sz w:val="22"/>
          <w:szCs w:val="22"/>
        </w:rPr>
      </w:pPr>
    </w:p>
    <w:p w14:paraId="3EFF7E76" w14:textId="77777777" w:rsidR="001D180C" w:rsidRDefault="001D180C" w:rsidP="001D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Si attesta il parere favorevole in ordine alla regolarità tecnica e la correttezza dell’atto in quanto conforme alla normativa di settore del Responsabile dell’istruttoria.</w:t>
      </w:r>
    </w:p>
    <w:p w14:paraId="6AA34809" w14:textId="77777777" w:rsidR="001D180C" w:rsidRDefault="001D180C" w:rsidP="001D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jc w:val="right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Geom. Giampietro Fongaro</w:t>
      </w:r>
    </w:p>
    <w:p w14:paraId="0CB929B9" w14:textId="77777777" w:rsidR="001D180C" w:rsidRDefault="001D180C" w:rsidP="001D180C">
      <w:pPr>
        <w:pStyle w:val="Paragrafoelenco"/>
        <w:autoSpaceDE w:val="0"/>
        <w:autoSpaceDN w:val="0"/>
        <w:spacing w:line="360" w:lineRule="auto"/>
        <w:ind w:left="0"/>
        <w:rPr>
          <w:rFonts w:ascii="Century Gothic" w:hAnsi="Century Gothic" w:cstheme="majorHAnsi"/>
          <w:sz w:val="22"/>
          <w:szCs w:val="22"/>
        </w:rPr>
      </w:pPr>
    </w:p>
    <w:p w14:paraId="36824B17" w14:textId="77777777" w:rsidR="001D180C" w:rsidRDefault="001D180C" w:rsidP="001D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Si attesta il parere favorevole circa la regolarità amministrativa dell’atto in oggetto del Responsabile dell’ufficio contratti </w:t>
      </w:r>
    </w:p>
    <w:p w14:paraId="3F8783A1" w14:textId="77777777" w:rsidR="001D180C" w:rsidRDefault="001D180C" w:rsidP="001D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jc w:val="right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 xml:space="preserve">Dott.ssa Roberta Bettinsoli </w:t>
      </w:r>
    </w:p>
    <w:p w14:paraId="190F17F1" w14:textId="77777777" w:rsidR="00EE64EC" w:rsidRDefault="00EE64EC" w:rsidP="001D180C">
      <w:pPr>
        <w:autoSpaceDE w:val="0"/>
        <w:autoSpaceDN w:val="0"/>
        <w:spacing w:line="360" w:lineRule="auto"/>
        <w:jc w:val="both"/>
        <w:rPr>
          <w:rFonts w:ascii="Century Gothic" w:hAnsi="Century Gothic" w:cstheme="majorHAnsi"/>
          <w:sz w:val="22"/>
          <w:szCs w:val="22"/>
        </w:rPr>
      </w:pPr>
    </w:p>
    <w:p w14:paraId="1B8AFA2D" w14:textId="77777777" w:rsidR="001D180C" w:rsidRDefault="001D180C" w:rsidP="001D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jc w:val="both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Si attesta la copertura finanziaria della spesa in relazione alle previsioni di bilancio e agli atti propedeutici necessari.</w:t>
      </w:r>
    </w:p>
    <w:p w14:paraId="3DAC5F19" w14:textId="77777777" w:rsidR="001D180C" w:rsidRDefault="001D180C" w:rsidP="001D18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360" w:lineRule="auto"/>
        <w:jc w:val="right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Rag. Paolo Dolcetti</w:t>
      </w:r>
    </w:p>
    <w:p w14:paraId="18C91841" w14:textId="77777777" w:rsidR="001D180C" w:rsidRDefault="001D180C" w:rsidP="001D180C">
      <w:pPr>
        <w:pStyle w:val="Paragrafoelenco"/>
        <w:autoSpaceDE w:val="0"/>
        <w:autoSpaceDN w:val="0"/>
        <w:spacing w:line="360" w:lineRule="auto"/>
        <w:jc w:val="right"/>
        <w:rPr>
          <w:rFonts w:ascii="Century Gothic" w:hAnsi="Century Gothic" w:cstheme="majorHAnsi"/>
          <w:sz w:val="22"/>
          <w:szCs w:val="22"/>
          <w:highlight w:val="yellow"/>
        </w:rPr>
      </w:pPr>
    </w:p>
    <w:p w14:paraId="1AF27088" w14:textId="77777777" w:rsidR="001D180C" w:rsidRDefault="001D180C" w:rsidP="001D180C">
      <w:pPr>
        <w:pStyle w:val="Paragrafoelenco"/>
        <w:autoSpaceDE w:val="0"/>
        <w:autoSpaceDN w:val="0"/>
        <w:spacing w:line="276" w:lineRule="auto"/>
        <w:jc w:val="right"/>
        <w:rPr>
          <w:rFonts w:ascii="Century Gothic" w:hAnsi="Century Gothic" w:cstheme="majorHAnsi"/>
          <w:sz w:val="22"/>
          <w:szCs w:val="22"/>
        </w:rPr>
      </w:pPr>
      <w:r>
        <w:rPr>
          <w:rFonts w:ascii="Century Gothic" w:hAnsi="Century Gothic" w:cstheme="majorHAnsi"/>
          <w:sz w:val="22"/>
          <w:szCs w:val="22"/>
        </w:rPr>
        <w:t>Il Direttore Generale</w:t>
      </w:r>
    </w:p>
    <w:p w14:paraId="61D3CD46" w14:textId="1F22B40A" w:rsidR="001D180C" w:rsidRDefault="001D180C" w:rsidP="00202B75">
      <w:pPr>
        <w:pStyle w:val="Paragrafoelenco"/>
        <w:overflowPunct w:val="0"/>
        <w:autoSpaceDE w:val="0"/>
        <w:autoSpaceDN w:val="0"/>
        <w:adjustRightInd w:val="0"/>
        <w:spacing w:after="152" w:line="276" w:lineRule="auto"/>
        <w:ind w:right="-1"/>
        <w:jc w:val="right"/>
        <w:textAlignment w:val="baseline"/>
        <w:rPr>
          <w:rFonts w:ascii="Century Gothic" w:hAnsi="Century Gothic" w:cstheme="majorHAnsi"/>
          <w:sz w:val="22"/>
        </w:rPr>
      </w:pPr>
      <w:r>
        <w:rPr>
          <w:rFonts w:ascii="Century Gothic" w:hAnsi="Century Gothic" w:cstheme="majorHAnsi"/>
          <w:sz w:val="22"/>
        </w:rPr>
        <w:t xml:space="preserve"> </w:t>
      </w:r>
      <w:r>
        <w:rPr>
          <w:rFonts w:ascii="Century Gothic" w:hAnsi="Century Gothic" w:cstheme="majorHAnsi"/>
          <w:sz w:val="22"/>
        </w:rPr>
        <w:tab/>
      </w:r>
      <w:r>
        <w:rPr>
          <w:rFonts w:ascii="Century Gothic" w:hAnsi="Century Gothic" w:cstheme="majorHAnsi"/>
          <w:sz w:val="22"/>
        </w:rPr>
        <w:tab/>
      </w:r>
      <w:r>
        <w:rPr>
          <w:rFonts w:ascii="Century Gothic" w:hAnsi="Century Gothic" w:cstheme="majorHAnsi"/>
          <w:sz w:val="22"/>
        </w:rPr>
        <w:tab/>
      </w:r>
      <w:r>
        <w:rPr>
          <w:rFonts w:ascii="Century Gothic" w:hAnsi="Century Gothic" w:cstheme="majorHAnsi"/>
          <w:sz w:val="22"/>
        </w:rPr>
        <w:tab/>
      </w:r>
      <w:r>
        <w:rPr>
          <w:rFonts w:ascii="Century Gothic" w:hAnsi="Century Gothic" w:cstheme="majorHAnsi"/>
          <w:sz w:val="22"/>
        </w:rPr>
        <w:tab/>
      </w:r>
      <w:r>
        <w:rPr>
          <w:rFonts w:ascii="Century Gothic" w:hAnsi="Century Gothic" w:cstheme="majorHAnsi"/>
          <w:sz w:val="22"/>
        </w:rPr>
        <w:tab/>
      </w:r>
      <w:r>
        <w:rPr>
          <w:rFonts w:ascii="Century Gothic" w:hAnsi="Century Gothic" w:cstheme="majorHAnsi"/>
          <w:sz w:val="22"/>
        </w:rPr>
        <w:tab/>
      </w:r>
      <w:r>
        <w:rPr>
          <w:rFonts w:ascii="Century Gothic" w:hAnsi="Century Gothic" w:cstheme="majorHAnsi"/>
          <w:sz w:val="22"/>
        </w:rPr>
        <w:tab/>
      </w:r>
      <w:r>
        <w:rPr>
          <w:rFonts w:ascii="Century Gothic" w:hAnsi="Century Gothic" w:cstheme="majorHAnsi"/>
          <w:sz w:val="22"/>
        </w:rPr>
        <w:tab/>
        <w:t>Arch.</w:t>
      </w:r>
      <w:r w:rsidR="00E00E13">
        <w:rPr>
          <w:rFonts w:ascii="Century Gothic" w:hAnsi="Century Gothic" w:cstheme="majorHAnsi"/>
          <w:sz w:val="22"/>
        </w:rPr>
        <w:t xml:space="preserve"> </w:t>
      </w:r>
      <w:r>
        <w:rPr>
          <w:rFonts w:ascii="Century Gothic" w:hAnsi="Century Gothic" w:cstheme="majorHAnsi"/>
          <w:sz w:val="22"/>
        </w:rPr>
        <w:t>Fabrizio Veronesi</w:t>
      </w:r>
    </w:p>
    <w:sectPr w:rsidR="001D180C" w:rsidSect="0005375C">
      <w:headerReference w:type="default" r:id="rId8"/>
      <w:footerReference w:type="default" r:id="rId9"/>
      <w:pgSz w:w="11906" w:h="16838"/>
      <w:pgMar w:top="1417" w:right="1134" w:bottom="1134" w:left="1134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049B9" w14:textId="77777777" w:rsidR="00BB7734" w:rsidRDefault="00BB7734" w:rsidP="00BB7734">
      <w:r>
        <w:separator/>
      </w:r>
    </w:p>
  </w:endnote>
  <w:endnote w:type="continuationSeparator" w:id="0">
    <w:p w14:paraId="012348C6" w14:textId="77777777" w:rsidR="00BB7734" w:rsidRDefault="00BB7734" w:rsidP="00BB7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0348" w:type="dxa"/>
      <w:tblInd w:w="-49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96"/>
      <w:gridCol w:w="6452"/>
    </w:tblGrid>
    <w:tr w:rsidR="00272553" w:rsidRPr="00093982" w14:paraId="51A2E0EB" w14:textId="77777777" w:rsidTr="006E3C33">
      <w:trPr>
        <w:trHeight w:val="1105"/>
      </w:trPr>
      <w:tc>
        <w:tcPr>
          <w:tcW w:w="3896" w:type="dxa"/>
          <w:tcBorders>
            <w:top w:val="single" w:sz="12" w:space="0" w:color="007352"/>
          </w:tcBorders>
        </w:tcPr>
        <w:p w14:paraId="106590B0" w14:textId="77777777" w:rsidR="00272553" w:rsidRPr="006E3C33" w:rsidRDefault="006E3C33" w:rsidP="006E3C33">
          <w:pPr>
            <w:pStyle w:val="Intestazione"/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</w:pPr>
          <w:r w:rsidRPr="006E3C33">
            <w:rPr>
              <w:rFonts w:ascii="Century Gothic" w:eastAsia="+mn-ea" w:hAnsi="Century Gothic" w:cs="+mn-cs"/>
              <w:noProof/>
              <w:color w:val="007352"/>
              <w:kern w:val="24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55BE59BE" wp14:editId="0285A52B">
                <wp:simplePos x="0" y="0"/>
                <wp:positionH relativeFrom="margin">
                  <wp:posOffset>746978</wp:posOffset>
                </wp:positionH>
                <wp:positionV relativeFrom="margin">
                  <wp:posOffset>436</wp:posOffset>
                </wp:positionV>
                <wp:extent cx="630000" cy="630000"/>
                <wp:effectExtent l="0" t="0" r="0" b="0"/>
                <wp:wrapSquare wrapText="bothSides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CertLogo (1).bmp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63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92AD5" w:rsidRPr="006E3C33">
            <w:rPr>
              <w:rFonts w:ascii="Century Gothic" w:eastAsia="+mn-ea" w:hAnsi="Century Gothic" w:cs="+mn-cs"/>
              <w:noProof/>
              <w:color w:val="007352"/>
              <w:kern w:val="24"/>
              <w:sz w:val="18"/>
              <w:szCs w:val="18"/>
            </w:rPr>
            <w:drawing>
              <wp:inline distT="0" distB="0" distL="0" distR="0" wp14:anchorId="5C1E1F9D" wp14:editId="0AAF9E56">
                <wp:extent cx="630000" cy="5760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SO_9001-2015.svg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2" w:type="dxa"/>
          <w:tcBorders>
            <w:top w:val="single" w:sz="12" w:space="0" w:color="007352"/>
          </w:tcBorders>
        </w:tcPr>
        <w:p w14:paraId="236C5C72" w14:textId="77777777" w:rsidR="00272553" w:rsidRPr="00DA6D3E" w:rsidRDefault="00272553" w:rsidP="00E92AD5">
          <w:pPr>
            <w:pStyle w:val="Intestazione"/>
            <w:ind w:left="-1418" w:right="-108"/>
            <w:jc w:val="right"/>
            <w:rPr>
              <w:rFonts w:ascii="Century Gothic" w:eastAsia="+mn-ea" w:hAnsi="Century Gothic" w:cs="+mn-cs"/>
              <w:color w:val="007352"/>
              <w:kern w:val="24"/>
            </w:rPr>
          </w:pPr>
          <w:proofErr w:type="gramStart"/>
          <w:r w:rsidRPr="00DA6D3E">
            <w:rPr>
              <w:rFonts w:ascii="Century Gothic" w:eastAsia="+mn-ea" w:hAnsi="Century Gothic" w:cs="+mn-cs"/>
              <w:color w:val="007352"/>
              <w:kern w:val="24"/>
            </w:rPr>
            <w:t>SE.VA.T.</w:t>
          </w:r>
          <w:proofErr w:type="gramEnd"/>
          <w:r w:rsidRPr="00DA6D3E">
            <w:rPr>
              <w:rFonts w:ascii="Century Gothic" w:eastAsia="+mn-ea" w:hAnsi="Century Gothic" w:cs="+mn-cs"/>
              <w:color w:val="007352"/>
              <w:kern w:val="24"/>
            </w:rPr>
            <w:t xml:space="preserve"> SERVIZI VALLE TROMPIA – S.C.R.L.</w:t>
          </w:r>
        </w:p>
        <w:p w14:paraId="0F235736" w14:textId="090957F7" w:rsidR="00272553" w:rsidRPr="00DA6D3E" w:rsidRDefault="00272553" w:rsidP="00E92AD5">
          <w:pPr>
            <w:pStyle w:val="Intestazione"/>
            <w:ind w:left="-1418" w:right="-108"/>
            <w:jc w:val="right"/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</w:pPr>
          <w:r w:rsidRPr="00DA6D3E"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  <w:t>Via G. Matteotti n. 32</w:t>
          </w:r>
          <w:r w:rsidR="00B829B5"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  <w:t>5</w:t>
          </w:r>
          <w:r w:rsidRPr="00DA6D3E"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  <w:t xml:space="preserve"> – 25063 Gardone V.T. (</w:t>
          </w:r>
          <w:proofErr w:type="spellStart"/>
          <w:r w:rsidRPr="00DA6D3E"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  <w:t>Bs</w:t>
          </w:r>
          <w:proofErr w:type="spellEnd"/>
          <w:r w:rsidRPr="00DA6D3E"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  <w:t>)</w:t>
          </w:r>
        </w:p>
        <w:p w14:paraId="59D56544" w14:textId="16739A9F" w:rsidR="00272553" w:rsidRPr="00DA6D3E" w:rsidRDefault="00272553" w:rsidP="00E92AD5">
          <w:pPr>
            <w:pStyle w:val="Intestazione"/>
            <w:ind w:left="-1418" w:right="-108"/>
            <w:jc w:val="right"/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</w:pPr>
          <w:r w:rsidRPr="00DA6D3E"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  <w:t>Tel. 030–</w:t>
          </w:r>
          <w:r w:rsidR="00B829B5"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  <w:t>6481276</w:t>
          </w:r>
          <w:r w:rsidRPr="00DA6D3E"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  <w:t xml:space="preserve"> - C.F./P. IVA 03849630987</w:t>
          </w:r>
        </w:p>
        <w:p w14:paraId="6A9AD9D0" w14:textId="77777777" w:rsidR="00272553" w:rsidRPr="00093982" w:rsidRDefault="00272553" w:rsidP="00E92AD5">
          <w:pPr>
            <w:pStyle w:val="Intestazione"/>
            <w:ind w:left="-1418" w:right="-108"/>
            <w:jc w:val="right"/>
            <w:rPr>
              <w:color w:val="007352"/>
              <w:sz w:val="17"/>
              <w:szCs w:val="17"/>
            </w:rPr>
          </w:pPr>
          <w:r w:rsidRPr="00DA6D3E">
            <w:rPr>
              <w:rFonts w:ascii="Century Gothic" w:eastAsia="+mn-ea" w:hAnsi="Century Gothic" w:cs="+mn-cs"/>
              <w:color w:val="007352"/>
              <w:kern w:val="24"/>
              <w:sz w:val="18"/>
              <w:szCs w:val="18"/>
            </w:rPr>
            <w:t xml:space="preserve">www.sevat.eu – info@sevat.eu – </w:t>
          </w:r>
          <w:hyperlink r:id="rId3" w:history="1">
            <w:r w:rsidRPr="00DA6D3E">
              <w:rPr>
                <w:rFonts w:ascii="Century Gothic" w:eastAsia="+mn-ea" w:hAnsi="Century Gothic" w:cs="+mn-cs"/>
                <w:color w:val="007352"/>
                <w:kern w:val="24"/>
                <w:sz w:val="18"/>
                <w:szCs w:val="18"/>
              </w:rPr>
              <w:t>sevat@pec.it</w:t>
            </w:r>
          </w:hyperlink>
        </w:p>
      </w:tc>
    </w:tr>
  </w:tbl>
  <w:p w14:paraId="709B87D6" w14:textId="77777777" w:rsidR="00BB7734" w:rsidRPr="00886F55" w:rsidRDefault="00BB7734" w:rsidP="00886F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84D0" w14:textId="77777777" w:rsidR="00BB7734" w:rsidRDefault="00BB7734" w:rsidP="00BB7734">
      <w:r>
        <w:separator/>
      </w:r>
    </w:p>
  </w:footnote>
  <w:footnote w:type="continuationSeparator" w:id="0">
    <w:p w14:paraId="1A516759" w14:textId="77777777" w:rsidR="00BB7734" w:rsidRDefault="00BB7734" w:rsidP="00BB7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1D6FA" w14:textId="77777777" w:rsidR="00093982" w:rsidRDefault="00093982"/>
  <w:tbl>
    <w:tblPr>
      <w:tblStyle w:val="Grigliatabella"/>
      <w:tblW w:w="10346" w:type="dxa"/>
      <w:jc w:val="center"/>
      <w:tblBorders>
        <w:top w:val="none" w:sz="0" w:space="0" w:color="auto"/>
        <w:left w:val="none" w:sz="0" w:space="0" w:color="auto"/>
        <w:bottom w:val="single" w:sz="12" w:space="0" w:color="227959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7"/>
      <w:gridCol w:w="7369"/>
    </w:tblGrid>
    <w:tr w:rsidR="00093982" w:rsidRPr="00093982" w14:paraId="21F369D5" w14:textId="77777777" w:rsidTr="00093982">
      <w:trPr>
        <w:trHeight w:val="284"/>
        <w:jc w:val="center"/>
      </w:trPr>
      <w:tc>
        <w:tcPr>
          <w:tcW w:w="2977" w:type="dxa"/>
        </w:tcPr>
        <w:p w14:paraId="037136D3" w14:textId="77777777" w:rsidR="008A4FC2" w:rsidRPr="00093982" w:rsidRDefault="00093982" w:rsidP="00A5015D">
          <w:pPr>
            <w:pStyle w:val="Intestazione"/>
            <w:rPr>
              <w:rFonts w:ascii="BankGothic Md BT" w:hAnsi="BankGothic Md BT"/>
              <w:color w:val="007352"/>
            </w:rPr>
          </w:pPr>
          <w:r w:rsidRPr="00E80D0E">
            <w:rPr>
              <w:rFonts w:ascii="BankGothic Md BT" w:hAnsi="BankGothic Md BT"/>
              <w:noProof/>
              <w:color w:val="00AF89"/>
            </w:rPr>
            <w:drawing>
              <wp:inline distT="0" distB="0" distL="0" distR="0" wp14:anchorId="35313EE4" wp14:editId="3D468739">
                <wp:extent cx="1753235" cy="350520"/>
                <wp:effectExtent l="0" t="0" r="0" b="0"/>
                <wp:docPr id="4" name="Immagine 3" descr="SEVAT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SEVAT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3235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9" w:type="dxa"/>
          <w:vAlign w:val="bottom"/>
        </w:tcPr>
        <w:p w14:paraId="2950F5D3" w14:textId="77777777" w:rsidR="008A4FC2" w:rsidRPr="00DA6D3E" w:rsidRDefault="00A5015D" w:rsidP="00A5015D">
          <w:pPr>
            <w:pStyle w:val="Intestazione"/>
            <w:ind w:left="-105" w:right="-107"/>
            <w:rPr>
              <w:color w:val="007352"/>
              <w:sz w:val="23"/>
              <w:szCs w:val="23"/>
            </w:rPr>
          </w:pPr>
          <w:r w:rsidRPr="00093982">
            <w:rPr>
              <w:rFonts w:ascii="BankGothic Md BT" w:hAnsi="BankGothic Md BT"/>
              <w:color w:val="007352"/>
              <w:sz w:val="23"/>
              <w:szCs w:val="23"/>
            </w:rPr>
            <w:t xml:space="preserve">  </w:t>
          </w:r>
          <w:r w:rsidRPr="00DA6D3E">
            <w:rPr>
              <w:rFonts w:ascii="Century Gothic" w:eastAsia="+mn-ea" w:hAnsi="Century Gothic" w:cs="+mn-cs"/>
              <w:color w:val="007352"/>
              <w:kern w:val="24"/>
            </w:rPr>
            <w:t>SERVIZI VALLE TROMPIA – SOCIETA’ CONSORTILE</w:t>
          </w:r>
        </w:p>
      </w:tc>
    </w:tr>
  </w:tbl>
  <w:p w14:paraId="122FE37A" w14:textId="77777777" w:rsidR="008A4FC2" w:rsidRPr="003D14F3" w:rsidRDefault="003D14F3" w:rsidP="003D14F3">
    <w:pPr>
      <w:pStyle w:val="Intestazione"/>
      <w:jc w:val="right"/>
      <w:rPr>
        <w:rFonts w:ascii="Century Gothic" w:hAnsi="Century Gothic"/>
        <w:sz w:val="20"/>
      </w:rPr>
    </w:pPr>
    <w:r>
      <w:rPr>
        <w:rFonts w:ascii="Century Gothic" w:hAnsi="Century Gothic"/>
        <w:sz w:val="20"/>
      </w:rPr>
      <w:t>M064 v03</w:t>
    </w:r>
    <w:r w:rsidR="000E5016" w:rsidRPr="00503845">
      <w:rPr>
        <w:rFonts w:ascii="Century Gothic" w:hAnsi="Century Gothic"/>
        <w:sz w:val="20"/>
      </w:rPr>
      <w:t xml:space="preserve"> del </w:t>
    </w:r>
    <w:r w:rsidR="000E5016">
      <w:rPr>
        <w:rFonts w:ascii="Century Gothic" w:hAnsi="Century Gothic"/>
        <w:sz w:val="20"/>
      </w:rPr>
      <w:t>06/25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E2234"/>
    <w:multiLevelType w:val="hybridMultilevel"/>
    <w:tmpl w:val="FDE60EC0"/>
    <w:lvl w:ilvl="0" w:tplc="001CB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F30D5"/>
    <w:multiLevelType w:val="hybridMultilevel"/>
    <w:tmpl w:val="F976EF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32B22"/>
    <w:multiLevelType w:val="hybridMultilevel"/>
    <w:tmpl w:val="07882988"/>
    <w:lvl w:ilvl="0" w:tplc="F2E26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C1025"/>
    <w:multiLevelType w:val="hybridMultilevel"/>
    <w:tmpl w:val="EBBAE20A"/>
    <w:lvl w:ilvl="0" w:tplc="4F8639F2">
      <w:start w:val="14"/>
      <w:numFmt w:val="bullet"/>
      <w:lvlText w:val="-"/>
      <w:lvlJc w:val="left"/>
      <w:pPr>
        <w:ind w:left="720" w:hanging="360"/>
      </w:pPr>
      <w:rPr>
        <w:rFonts w:ascii="Symbol" w:eastAsia="Calibri" w:hAnsi="Symbol" w:cs="Times New Roman" w:hint="default"/>
        <w:b w:val="0"/>
        <w:i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5082F"/>
    <w:multiLevelType w:val="hybridMultilevel"/>
    <w:tmpl w:val="17C061A2"/>
    <w:lvl w:ilvl="0" w:tplc="93629282">
      <w:start w:val="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74553"/>
    <w:multiLevelType w:val="hybridMultilevel"/>
    <w:tmpl w:val="A2F4F7D6"/>
    <w:lvl w:ilvl="0" w:tplc="243673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D3671"/>
    <w:multiLevelType w:val="multilevel"/>
    <w:tmpl w:val="8258F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7C509CC"/>
    <w:multiLevelType w:val="hybridMultilevel"/>
    <w:tmpl w:val="CE04290C"/>
    <w:lvl w:ilvl="0" w:tplc="E5F0D7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6133C"/>
    <w:multiLevelType w:val="hybridMultilevel"/>
    <w:tmpl w:val="25546498"/>
    <w:lvl w:ilvl="0" w:tplc="9BF474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E339A"/>
    <w:multiLevelType w:val="hybridMultilevel"/>
    <w:tmpl w:val="22EE6E0A"/>
    <w:lvl w:ilvl="0" w:tplc="845C3278">
      <w:start w:val="177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FC701E9"/>
    <w:multiLevelType w:val="hybridMultilevel"/>
    <w:tmpl w:val="11DEF92A"/>
    <w:lvl w:ilvl="0" w:tplc="0410000F">
      <w:start w:val="1"/>
      <w:numFmt w:val="decimal"/>
      <w:lvlText w:val="%1."/>
      <w:lvlJc w:val="left"/>
      <w:pPr>
        <w:ind w:left="1778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1499574">
    <w:abstractNumId w:val="6"/>
  </w:num>
  <w:num w:numId="2" w16cid:durableId="2026709358">
    <w:abstractNumId w:val="4"/>
  </w:num>
  <w:num w:numId="3" w16cid:durableId="836967676">
    <w:abstractNumId w:val="1"/>
  </w:num>
  <w:num w:numId="4" w16cid:durableId="1891381475">
    <w:abstractNumId w:val="9"/>
  </w:num>
  <w:num w:numId="5" w16cid:durableId="918638649">
    <w:abstractNumId w:val="7"/>
  </w:num>
  <w:num w:numId="6" w16cid:durableId="1756437442">
    <w:abstractNumId w:val="2"/>
  </w:num>
  <w:num w:numId="7" w16cid:durableId="377094840">
    <w:abstractNumId w:val="3"/>
  </w:num>
  <w:num w:numId="8" w16cid:durableId="1486699262">
    <w:abstractNumId w:val="8"/>
  </w:num>
  <w:num w:numId="9" w16cid:durableId="1054617126">
    <w:abstractNumId w:val="5"/>
  </w:num>
  <w:num w:numId="10" w16cid:durableId="18645103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80477369">
    <w:abstractNumId w:val="0"/>
  </w:num>
  <w:num w:numId="12" w16cid:durableId="888422876">
    <w:abstractNumId w:val="3"/>
  </w:num>
  <w:num w:numId="13" w16cid:durableId="703364759">
    <w:abstractNumId w:val="8"/>
  </w:num>
  <w:num w:numId="14" w16cid:durableId="1769277589">
    <w:abstractNumId w:val="0"/>
  </w:num>
  <w:num w:numId="15" w16cid:durableId="513426217">
    <w:abstractNumId w:val="8"/>
  </w:num>
  <w:num w:numId="16" w16cid:durableId="595136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580"/>
    <w:rsid w:val="00001A0A"/>
    <w:rsid w:val="000033A6"/>
    <w:rsid w:val="00027EEA"/>
    <w:rsid w:val="000323D0"/>
    <w:rsid w:val="00043CC0"/>
    <w:rsid w:val="00047093"/>
    <w:rsid w:val="0005375C"/>
    <w:rsid w:val="00093982"/>
    <w:rsid w:val="000B27B9"/>
    <w:rsid w:val="000B2F01"/>
    <w:rsid w:val="000B54F7"/>
    <w:rsid w:val="000B67EE"/>
    <w:rsid w:val="000E5016"/>
    <w:rsid w:val="0010236A"/>
    <w:rsid w:val="00135608"/>
    <w:rsid w:val="00172E07"/>
    <w:rsid w:val="001777EE"/>
    <w:rsid w:val="001B1FBF"/>
    <w:rsid w:val="001C7834"/>
    <w:rsid w:val="001D180C"/>
    <w:rsid w:val="001E3764"/>
    <w:rsid w:val="001F492F"/>
    <w:rsid w:val="001F577E"/>
    <w:rsid w:val="0020233E"/>
    <w:rsid w:val="00202B75"/>
    <w:rsid w:val="00217AC8"/>
    <w:rsid w:val="002213C0"/>
    <w:rsid w:val="00243C55"/>
    <w:rsid w:val="00272553"/>
    <w:rsid w:val="002937EA"/>
    <w:rsid w:val="002A3F01"/>
    <w:rsid w:val="002B1451"/>
    <w:rsid w:val="002D240B"/>
    <w:rsid w:val="00341580"/>
    <w:rsid w:val="0036111C"/>
    <w:rsid w:val="003A539D"/>
    <w:rsid w:val="003D14F3"/>
    <w:rsid w:val="004004F3"/>
    <w:rsid w:val="004171C3"/>
    <w:rsid w:val="0043430C"/>
    <w:rsid w:val="004F36DF"/>
    <w:rsid w:val="005D343C"/>
    <w:rsid w:val="005E2BB8"/>
    <w:rsid w:val="006079F5"/>
    <w:rsid w:val="00664DF2"/>
    <w:rsid w:val="006865F9"/>
    <w:rsid w:val="006A7FA6"/>
    <w:rsid w:val="006E3C33"/>
    <w:rsid w:val="00712584"/>
    <w:rsid w:val="00750B76"/>
    <w:rsid w:val="007955CA"/>
    <w:rsid w:val="007C1AC0"/>
    <w:rsid w:val="007C32ED"/>
    <w:rsid w:val="007E784E"/>
    <w:rsid w:val="00800E13"/>
    <w:rsid w:val="008279E2"/>
    <w:rsid w:val="00853E44"/>
    <w:rsid w:val="00886F55"/>
    <w:rsid w:val="00897755"/>
    <w:rsid w:val="008A4FC2"/>
    <w:rsid w:val="008C595D"/>
    <w:rsid w:val="00905D8D"/>
    <w:rsid w:val="009363B5"/>
    <w:rsid w:val="00945CF3"/>
    <w:rsid w:val="00990C7B"/>
    <w:rsid w:val="009A3A52"/>
    <w:rsid w:val="009B0EE8"/>
    <w:rsid w:val="009E04CC"/>
    <w:rsid w:val="00A3601B"/>
    <w:rsid w:val="00A5015D"/>
    <w:rsid w:val="00A65F70"/>
    <w:rsid w:val="00A9098C"/>
    <w:rsid w:val="00A94529"/>
    <w:rsid w:val="00AC6666"/>
    <w:rsid w:val="00AF3C5F"/>
    <w:rsid w:val="00B13D30"/>
    <w:rsid w:val="00B22895"/>
    <w:rsid w:val="00B829B5"/>
    <w:rsid w:val="00B938B2"/>
    <w:rsid w:val="00BB7734"/>
    <w:rsid w:val="00C05D29"/>
    <w:rsid w:val="00C236A0"/>
    <w:rsid w:val="00C6648C"/>
    <w:rsid w:val="00C971E3"/>
    <w:rsid w:val="00CB5D49"/>
    <w:rsid w:val="00CF6C76"/>
    <w:rsid w:val="00D00007"/>
    <w:rsid w:val="00D06E13"/>
    <w:rsid w:val="00D173C3"/>
    <w:rsid w:val="00D516EB"/>
    <w:rsid w:val="00D520BD"/>
    <w:rsid w:val="00DA6D3E"/>
    <w:rsid w:val="00DB194E"/>
    <w:rsid w:val="00DE7518"/>
    <w:rsid w:val="00E00E13"/>
    <w:rsid w:val="00E92AD5"/>
    <w:rsid w:val="00EA3344"/>
    <w:rsid w:val="00EC139C"/>
    <w:rsid w:val="00EE64EC"/>
    <w:rsid w:val="00EF4154"/>
    <w:rsid w:val="00F051AF"/>
    <w:rsid w:val="00F377FC"/>
    <w:rsid w:val="00F37C3B"/>
    <w:rsid w:val="00F603BE"/>
    <w:rsid w:val="00F76067"/>
    <w:rsid w:val="00F86EE1"/>
    <w:rsid w:val="00FC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2CF07423"/>
  <w15:chartTrackingRefBased/>
  <w15:docId w15:val="{E3FAEA21-63F5-46BF-828E-301891D96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E5016"/>
    <w:pPr>
      <w:widowControl w:val="0"/>
      <w:spacing w:after="0" w:line="240" w:lineRule="auto"/>
    </w:pPr>
    <w:rPr>
      <w:rFonts w:ascii="New York" w:eastAsia="Times New Roman" w:hAnsi="New York" w:cs="Times New Roman"/>
      <w:snapToGrid w:val="0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B77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323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0323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50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3415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77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BB7734"/>
    <w:pPr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BB7734"/>
    <w:pPr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BB7734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77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773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B77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7734"/>
  </w:style>
  <w:style w:type="paragraph" w:styleId="Pidipagina">
    <w:name w:val="footer"/>
    <w:basedOn w:val="Normale"/>
    <w:link w:val="PidipaginaCarattere"/>
    <w:unhideWhenUsed/>
    <w:rsid w:val="00BB77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7734"/>
  </w:style>
  <w:style w:type="character" w:customStyle="1" w:styleId="Titolo2Carattere">
    <w:name w:val="Titolo 2 Carattere"/>
    <w:basedOn w:val="Carpredefinitoparagrafo"/>
    <w:link w:val="Titolo2"/>
    <w:uiPriority w:val="9"/>
    <w:rsid w:val="000323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2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0323D0"/>
    <w:pPr>
      <w:spacing w:after="100"/>
      <w:ind w:left="220"/>
    </w:pPr>
  </w:style>
  <w:style w:type="paragraph" w:styleId="Paragrafoelenco">
    <w:name w:val="List Paragraph"/>
    <w:aliases w:val="Titoli"/>
    <w:basedOn w:val="Normale"/>
    <w:link w:val="ParagrafoelencoCarattere"/>
    <w:uiPriority w:val="34"/>
    <w:qFormat/>
    <w:rsid w:val="00027EEA"/>
    <w:pPr>
      <w:ind w:left="720"/>
      <w:contextualSpacing/>
    </w:pPr>
  </w:style>
  <w:style w:type="paragraph" w:customStyle="1" w:styleId="Default">
    <w:name w:val="Default"/>
    <w:rsid w:val="008279E2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5016"/>
    <w:rPr>
      <w:rFonts w:asciiTheme="majorHAnsi" w:eastAsiaTheme="majorEastAsia" w:hAnsiTheme="majorHAnsi" w:cstheme="majorBidi"/>
      <w:i/>
      <w:iCs/>
      <w:snapToGrid w:val="0"/>
      <w:color w:val="2E74B5" w:themeColor="accent1" w:themeShade="BF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0E5016"/>
    <w:pPr>
      <w:widowControl/>
      <w:spacing w:line="360" w:lineRule="auto"/>
      <w:ind w:right="-762"/>
      <w:jc w:val="both"/>
    </w:pPr>
    <w:rPr>
      <w:rFonts w:ascii="Arial" w:hAnsi="Arial"/>
    </w:rPr>
  </w:style>
  <w:style w:type="character" w:customStyle="1" w:styleId="CorpotestoCarattere">
    <w:name w:val="Corpo testo Carattere"/>
    <w:basedOn w:val="Carpredefinitoparagrafo"/>
    <w:link w:val="Corpotesto"/>
    <w:rsid w:val="000E5016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customStyle="1" w:styleId="Standard">
    <w:name w:val="Standard"/>
    <w:rsid w:val="000E501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E5016"/>
    <w:pPr>
      <w:widowControl/>
      <w:spacing w:after="120"/>
      <w:ind w:left="283"/>
    </w:pPr>
    <w:rPr>
      <w:rFonts w:ascii="Times New Roman" w:hAnsi="Times New Roman"/>
      <w:snapToGrid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E50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treet-address">
    <w:name w:val="street-address"/>
    <w:basedOn w:val="Carpredefinitoparagrafo"/>
    <w:rsid w:val="000E5016"/>
  </w:style>
  <w:style w:type="character" w:styleId="Enfasicorsivo">
    <w:name w:val="Emphasis"/>
    <w:uiPriority w:val="20"/>
    <w:qFormat/>
    <w:rsid w:val="000E5016"/>
    <w:rPr>
      <w:i/>
      <w:iCs/>
    </w:rPr>
  </w:style>
  <w:style w:type="paragraph" w:customStyle="1" w:styleId="Corpodeltesto31">
    <w:name w:val="Corpo del testo 31"/>
    <w:basedOn w:val="Normale"/>
    <w:rsid w:val="000E5016"/>
    <w:pPr>
      <w:widowControl/>
      <w:suppressAutoHyphens/>
      <w:spacing w:after="60"/>
      <w:jc w:val="both"/>
    </w:pPr>
    <w:rPr>
      <w:rFonts w:ascii="Arial" w:hAnsi="Arial" w:cs="Arial"/>
      <w:b/>
      <w:snapToGrid/>
      <w:sz w:val="20"/>
      <w:lang w:eastAsia="ar-SA"/>
    </w:rPr>
  </w:style>
  <w:style w:type="character" w:customStyle="1" w:styleId="ParagrafoelencoCarattere">
    <w:name w:val="Paragrafo elenco Carattere"/>
    <w:aliases w:val="Titoli Carattere"/>
    <w:link w:val="Paragrafoelenco"/>
    <w:uiPriority w:val="34"/>
    <w:locked/>
    <w:rsid w:val="001D180C"/>
    <w:rPr>
      <w:rFonts w:ascii="New York" w:eastAsia="Times New Roman" w:hAnsi="New York" w:cs="Times New Roman"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0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vat@pec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52B2E-B595-4B46-B187-87FDD11F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1756</Words>
  <Characters>10013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Prandelli</dc:creator>
  <cp:keywords/>
  <dc:description/>
  <cp:lastModifiedBy>Vanessa Pelizzari</cp:lastModifiedBy>
  <cp:revision>2</cp:revision>
  <cp:lastPrinted>2025-09-08T11:39:00Z</cp:lastPrinted>
  <dcterms:created xsi:type="dcterms:W3CDTF">2025-09-11T06:45:00Z</dcterms:created>
  <dcterms:modified xsi:type="dcterms:W3CDTF">2025-09-11T06:45:00Z</dcterms:modified>
</cp:coreProperties>
</file>